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899"/>
        <w:tblW w:w="988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20" w:firstRow="1" w:lastRow="0" w:firstColumn="0" w:lastColumn="0" w:noHBand="0" w:noVBand="0"/>
      </w:tblPr>
      <w:tblGrid>
        <w:gridCol w:w="3959"/>
        <w:gridCol w:w="5930"/>
      </w:tblGrid>
      <w:tr w:rsidR="000136B6" w:rsidRPr="00362D0D" w14:paraId="5979E317" w14:textId="77777777" w:rsidTr="000136B6">
        <w:trPr>
          <w:trHeight w:val="454"/>
          <w:tblHeader/>
        </w:trPr>
        <w:tc>
          <w:tcPr>
            <w:tcW w:w="3959" w:type="dxa"/>
            <w:tcBorders>
              <w:top w:val="single" w:sz="4" w:space="0" w:color="999999"/>
              <w:left w:val="single" w:sz="4" w:space="0" w:color="999999"/>
              <w:bottom w:val="single" w:sz="12" w:space="0" w:color="666666"/>
              <w:right w:val="single" w:sz="4" w:space="0" w:color="999999"/>
            </w:tcBorders>
            <w:hideMark/>
          </w:tcPr>
          <w:p w14:paraId="09657809" w14:textId="77777777" w:rsidR="000136B6" w:rsidRPr="00362D0D" w:rsidRDefault="000136B6" w:rsidP="00362D0D">
            <w:pPr>
              <w:spacing w:after="0" w:line="240" w:lineRule="auto"/>
              <w:rPr>
                <w:rFonts w:ascii="Arial" w:eastAsia="Calibri" w:hAnsi="Arial" w:cs="Arial"/>
                <w:b/>
                <w:bCs/>
                <w:kern w:val="0"/>
                <w14:ligatures w14:val="none"/>
              </w:rPr>
            </w:pPr>
            <w:bookmarkStart w:id="0" w:name="_Hlk153273683"/>
            <w:bookmarkEnd w:id="0"/>
            <w:r w:rsidRPr="00362D0D">
              <w:rPr>
                <w:rFonts w:ascii="Arial" w:eastAsia="Calibri" w:hAnsi="Arial" w:cs="Arial"/>
                <w:b/>
                <w:bCs/>
                <w:kern w:val="0"/>
                <w14:ligatures w14:val="none"/>
              </w:rPr>
              <w:t xml:space="preserve">Title </w:t>
            </w:r>
          </w:p>
        </w:tc>
        <w:tc>
          <w:tcPr>
            <w:tcW w:w="5930" w:type="dxa"/>
            <w:tcBorders>
              <w:top w:val="single" w:sz="4" w:space="0" w:color="999999"/>
              <w:left w:val="single" w:sz="4" w:space="0" w:color="999999"/>
              <w:bottom w:val="single" w:sz="12" w:space="0" w:color="666666"/>
              <w:right w:val="single" w:sz="4" w:space="0" w:color="999999"/>
            </w:tcBorders>
            <w:hideMark/>
          </w:tcPr>
          <w:p w14:paraId="14BAB336" w14:textId="4DE9D0B3" w:rsidR="000136B6" w:rsidRPr="00362D0D" w:rsidRDefault="000136B6" w:rsidP="00362D0D">
            <w:pPr>
              <w:spacing w:after="0" w:line="240" w:lineRule="auto"/>
              <w:rPr>
                <w:rFonts w:ascii="Arial" w:eastAsia="Calibri" w:hAnsi="Arial" w:cs="Arial"/>
                <w:b/>
                <w:bCs/>
                <w:kern w:val="0"/>
                <w14:ligatures w14:val="none"/>
              </w:rPr>
            </w:pPr>
            <w:r w:rsidRPr="00362D0D">
              <w:rPr>
                <w:rFonts w:ascii="Arial" w:eastAsia="Calibri" w:hAnsi="Arial" w:cs="Arial"/>
                <w:b/>
                <w:bCs/>
                <w:kern w:val="0"/>
                <w14:ligatures w14:val="none"/>
              </w:rPr>
              <w:t xml:space="preserve">Examination </w:t>
            </w:r>
            <w:r w:rsidR="00D863D1" w:rsidRPr="00362D0D">
              <w:rPr>
                <w:rFonts w:ascii="Arial" w:eastAsia="Calibri" w:hAnsi="Arial" w:cs="Arial"/>
                <w:b/>
                <w:bCs/>
                <w:kern w:val="0"/>
                <w14:ligatures w14:val="none"/>
              </w:rPr>
              <w:t xml:space="preserve">Appeals </w:t>
            </w:r>
            <w:r w:rsidRPr="00362D0D">
              <w:rPr>
                <w:rFonts w:ascii="Arial" w:eastAsia="Calibri" w:hAnsi="Arial" w:cs="Arial"/>
                <w:b/>
                <w:bCs/>
                <w:kern w:val="0"/>
                <w14:ligatures w14:val="none"/>
              </w:rPr>
              <w:t>Policy</w:t>
            </w:r>
          </w:p>
        </w:tc>
      </w:tr>
      <w:tr w:rsidR="000136B6" w:rsidRPr="00362D0D" w14:paraId="35820760" w14:textId="77777777" w:rsidTr="000136B6">
        <w:trPr>
          <w:trHeight w:val="454"/>
        </w:trPr>
        <w:tc>
          <w:tcPr>
            <w:tcW w:w="3959" w:type="dxa"/>
            <w:tcBorders>
              <w:top w:val="single" w:sz="4" w:space="0" w:color="999999"/>
              <w:left w:val="single" w:sz="4" w:space="0" w:color="999999"/>
              <w:bottom w:val="single" w:sz="4" w:space="0" w:color="999999"/>
              <w:right w:val="single" w:sz="4" w:space="0" w:color="999999"/>
            </w:tcBorders>
            <w:hideMark/>
          </w:tcPr>
          <w:p w14:paraId="3409DB0F" w14:textId="77777777" w:rsidR="000136B6" w:rsidRPr="00362D0D" w:rsidRDefault="000136B6" w:rsidP="00362D0D">
            <w:pPr>
              <w:spacing w:after="0" w:line="240" w:lineRule="auto"/>
              <w:rPr>
                <w:rFonts w:ascii="Arial" w:eastAsia="Calibri" w:hAnsi="Arial" w:cs="Arial"/>
                <w:b/>
                <w:kern w:val="0"/>
                <w14:ligatures w14:val="none"/>
              </w:rPr>
            </w:pPr>
            <w:r w:rsidRPr="00362D0D">
              <w:rPr>
                <w:rFonts w:ascii="Arial" w:eastAsia="Calibri" w:hAnsi="Arial" w:cs="Arial"/>
                <w:b/>
                <w:kern w:val="0"/>
                <w14:ligatures w14:val="none"/>
              </w:rPr>
              <w:t xml:space="preserve">Summary </w:t>
            </w:r>
          </w:p>
        </w:tc>
        <w:tc>
          <w:tcPr>
            <w:tcW w:w="5930" w:type="dxa"/>
            <w:tcBorders>
              <w:top w:val="single" w:sz="4" w:space="0" w:color="999999"/>
              <w:left w:val="single" w:sz="4" w:space="0" w:color="999999"/>
              <w:bottom w:val="single" w:sz="4" w:space="0" w:color="999999"/>
              <w:right w:val="single" w:sz="4" w:space="0" w:color="999999"/>
            </w:tcBorders>
            <w:hideMark/>
          </w:tcPr>
          <w:p w14:paraId="7925AD9B" w14:textId="0FE89554" w:rsidR="000136B6" w:rsidRPr="00362D0D" w:rsidRDefault="000136B6" w:rsidP="00362D0D">
            <w:pPr>
              <w:autoSpaceDE w:val="0"/>
              <w:autoSpaceDN w:val="0"/>
              <w:adjustRightInd w:val="0"/>
              <w:spacing w:after="0" w:line="240" w:lineRule="auto"/>
              <w:rPr>
                <w:rFonts w:ascii="Arial" w:hAnsi="Arial" w:cs="Arial"/>
                <w:color w:val="000000"/>
                <w:kern w:val="0"/>
                <w14:ligatures w14:val="none"/>
              </w:rPr>
            </w:pPr>
            <w:r w:rsidRPr="00362D0D">
              <w:rPr>
                <w:rFonts w:ascii="Arial" w:eastAsia="Calibri" w:hAnsi="Arial" w:cs="Arial"/>
                <w:color w:val="000000"/>
                <w:kern w:val="0"/>
                <w14:ligatures w14:val="none"/>
              </w:rPr>
              <w:t xml:space="preserve">This policy </w:t>
            </w:r>
            <w:r w:rsidR="00D863D1" w:rsidRPr="00362D0D">
              <w:rPr>
                <w:rFonts w:ascii="Arial" w:eastAsia="Calibri" w:hAnsi="Arial" w:cs="Arial"/>
                <w:color w:val="000000"/>
                <w:kern w:val="0"/>
                <w14:ligatures w14:val="none"/>
              </w:rPr>
              <w:t>explains</w:t>
            </w:r>
            <w:r w:rsidRPr="00362D0D">
              <w:rPr>
                <w:rFonts w:ascii="Arial" w:eastAsia="Calibri" w:hAnsi="Arial" w:cs="Arial"/>
                <w:color w:val="000000"/>
                <w:kern w:val="0"/>
                <w14:ligatures w14:val="none"/>
              </w:rPr>
              <w:t xml:space="preserve"> the </w:t>
            </w:r>
            <w:r w:rsidRPr="00362D0D">
              <w:rPr>
                <w:rFonts w:ascii="Arial" w:hAnsi="Arial" w:cs="Arial"/>
                <w:color w:val="000000"/>
                <w:kern w:val="0"/>
                <w14:ligatures w14:val="none"/>
              </w:rPr>
              <w:t>operation of our exam</w:t>
            </w:r>
            <w:r w:rsidR="00D863D1" w:rsidRPr="00362D0D">
              <w:rPr>
                <w:rFonts w:ascii="Arial" w:hAnsi="Arial" w:cs="Arial"/>
                <w:color w:val="000000"/>
                <w:kern w:val="0"/>
                <w14:ligatures w14:val="none"/>
              </w:rPr>
              <w:t>ination</w:t>
            </w:r>
            <w:r w:rsidRPr="00362D0D">
              <w:rPr>
                <w:rFonts w:ascii="Arial" w:hAnsi="Arial" w:cs="Arial"/>
                <w:color w:val="000000"/>
                <w:kern w:val="0"/>
                <w14:ligatures w14:val="none"/>
              </w:rPr>
              <w:t xml:space="preserve"> </w:t>
            </w:r>
            <w:r w:rsidR="00D863D1" w:rsidRPr="00362D0D">
              <w:rPr>
                <w:rFonts w:ascii="Arial" w:hAnsi="Arial" w:cs="Arial"/>
                <w:color w:val="000000"/>
                <w:kern w:val="0"/>
                <w14:ligatures w14:val="none"/>
              </w:rPr>
              <w:t xml:space="preserve">appeals </w:t>
            </w:r>
            <w:r w:rsidRPr="00362D0D">
              <w:rPr>
                <w:rFonts w:ascii="Arial" w:hAnsi="Arial" w:cs="Arial"/>
                <w:color w:val="000000"/>
                <w:kern w:val="0"/>
                <w14:ligatures w14:val="none"/>
              </w:rPr>
              <w:t xml:space="preserve">system with clear guidelines for all. </w:t>
            </w:r>
          </w:p>
        </w:tc>
      </w:tr>
      <w:tr w:rsidR="000136B6" w:rsidRPr="00362D0D" w14:paraId="11EA9E34" w14:textId="77777777" w:rsidTr="000136B6">
        <w:trPr>
          <w:trHeight w:val="454"/>
        </w:trPr>
        <w:tc>
          <w:tcPr>
            <w:tcW w:w="3959" w:type="dxa"/>
            <w:tcBorders>
              <w:top w:val="single" w:sz="4" w:space="0" w:color="999999"/>
              <w:left w:val="single" w:sz="4" w:space="0" w:color="999999"/>
              <w:bottom w:val="single" w:sz="4" w:space="0" w:color="999999"/>
              <w:right w:val="single" w:sz="4" w:space="0" w:color="999999"/>
            </w:tcBorders>
            <w:hideMark/>
          </w:tcPr>
          <w:p w14:paraId="5861AF49" w14:textId="77777777" w:rsidR="000136B6" w:rsidRPr="00362D0D" w:rsidRDefault="000136B6" w:rsidP="00362D0D">
            <w:pPr>
              <w:spacing w:after="0" w:line="240" w:lineRule="auto"/>
              <w:rPr>
                <w:rFonts w:ascii="Arial" w:eastAsia="Calibri" w:hAnsi="Arial" w:cs="Arial"/>
                <w:b/>
                <w:kern w:val="0"/>
                <w14:ligatures w14:val="none"/>
              </w:rPr>
            </w:pPr>
            <w:r w:rsidRPr="00362D0D">
              <w:rPr>
                <w:rFonts w:ascii="Arial" w:eastAsia="Calibri" w:hAnsi="Arial" w:cs="Arial"/>
                <w:b/>
                <w:kern w:val="0"/>
                <w14:ligatures w14:val="none"/>
              </w:rPr>
              <w:t xml:space="preserve">Purpose </w:t>
            </w:r>
          </w:p>
        </w:tc>
        <w:tc>
          <w:tcPr>
            <w:tcW w:w="5930" w:type="dxa"/>
            <w:tcBorders>
              <w:top w:val="single" w:sz="4" w:space="0" w:color="999999"/>
              <w:left w:val="single" w:sz="4" w:space="0" w:color="999999"/>
              <w:bottom w:val="single" w:sz="4" w:space="0" w:color="999999"/>
              <w:right w:val="single" w:sz="4" w:space="0" w:color="999999"/>
            </w:tcBorders>
            <w:hideMark/>
          </w:tcPr>
          <w:p w14:paraId="368E7350" w14:textId="07157A99" w:rsidR="000136B6" w:rsidRPr="00362D0D" w:rsidRDefault="000136B6" w:rsidP="00362D0D">
            <w:pPr>
              <w:spacing w:after="0" w:line="240" w:lineRule="auto"/>
              <w:rPr>
                <w:rFonts w:ascii="Arial" w:eastAsia="Calibri" w:hAnsi="Arial" w:cs="Arial"/>
                <w:kern w:val="0"/>
                <w:highlight w:val="green"/>
                <w14:ligatures w14:val="none"/>
              </w:rPr>
            </w:pPr>
            <w:r w:rsidRPr="00362D0D">
              <w:rPr>
                <w:rFonts w:ascii="Arial" w:hAnsi="Arial" w:cs="Arial"/>
                <w:kern w:val="0"/>
                <w14:ligatures w14:val="none"/>
              </w:rPr>
              <w:t xml:space="preserve">To ensure that the </w:t>
            </w:r>
            <w:r w:rsidR="00D863D1" w:rsidRPr="00362D0D">
              <w:rPr>
                <w:rFonts w:ascii="Arial" w:hAnsi="Arial" w:cs="Arial"/>
                <w:kern w:val="0"/>
                <w14:ligatures w14:val="none"/>
              </w:rPr>
              <w:t xml:space="preserve">procedures </w:t>
            </w:r>
            <w:r w:rsidRPr="00362D0D">
              <w:rPr>
                <w:rFonts w:ascii="Arial" w:hAnsi="Arial" w:cs="Arial"/>
                <w:kern w:val="0"/>
                <w14:ligatures w14:val="none"/>
              </w:rPr>
              <w:t>exam</w:t>
            </w:r>
            <w:r w:rsidR="00D863D1" w:rsidRPr="00362D0D">
              <w:rPr>
                <w:rFonts w:ascii="Arial" w:hAnsi="Arial" w:cs="Arial"/>
                <w:kern w:val="0"/>
                <w14:ligatures w14:val="none"/>
              </w:rPr>
              <w:t>ination appeals</w:t>
            </w:r>
            <w:r w:rsidRPr="00362D0D">
              <w:rPr>
                <w:rFonts w:ascii="Arial" w:hAnsi="Arial" w:cs="Arial"/>
                <w:kern w:val="0"/>
                <w14:ligatures w14:val="none"/>
              </w:rPr>
              <w:t xml:space="preserve"> is conducted efficiently and in the best interest of our students </w:t>
            </w:r>
          </w:p>
        </w:tc>
      </w:tr>
      <w:tr w:rsidR="000136B6" w:rsidRPr="00362D0D" w14:paraId="01B50A01" w14:textId="77777777" w:rsidTr="000136B6">
        <w:trPr>
          <w:trHeight w:val="454"/>
        </w:trPr>
        <w:tc>
          <w:tcPr>
            <w:tcW w:w="3959" w:type="dxa"/>
            <w:tcBorders>
              <w:top w:val="single" w:sz="4" w:space="0" w:color="999999"/>
              <w:left w:val="single" w:sz="4" w:space="0" w:color="999999"/>
              <w:bottom w:val="single" w:sz="4" w:space="0" w:color="999999"/>
              <w:right w:val="single" w:sz="4" w:space="0" w:color="999999"/>
            </w:tcBorders>
            <w:hideMark/>
          </w:tcPr>
          <w:p w14:paraId="70C3F812" w14:textId="77777777" w:rsidR="000136B6" w:rsidRPr="00362D0D" w:rsidRDefault="000136B6" w:rsidP="00362D0D">
            <w:pPr>
              <w:spacing w:after="0" w:line="240" w:lineRule="auto"/>
              <w:rPr>
                <w:rFonts w:ascii="Arial" w:eastAsia="Calibri" w:hAnsi="Arial" w:cs="Arial"/>
                <w:b/>
                <w:kern w:val="0"/>
                <w14:ligatures w14:val="none"/>
              </w:rPr>
            </w:pPr>
            <w:r w:rsidRPr="00362D0D">
              <w:rPr>
                <w:rFonts w:ascii="Arial" w:eastAsia="Calibri" w:hAnsi="Arial" w:cs="Arial"/>
                <w:b/>
                <w:kern w:val="0"/>
                <w14:ligatures w14:val="none"/>
              </w:rPr>
              <w:t xml:space="preserve">Operational Date </w:t>
            </w:r>
          </w:p>
        </w:tc>
        <w:tc>
          <w:tcPr>
            <w:tcW w:w="5930" w:type="dxa"/>
            <w:tcBorders>
              <w:top w:val="single" w:sz="4" w:space="0" w:color="999999"/>
              <w:left w:val="single" w:sz="4" w:space="0" w:color="999999"/>
              <w:bottom w:val="single" w:sz="4" w:space="0" w:color="999999"/>
              <w:right w:val="single" w:sz="4" w:space="0" w:color="999999"/>
            </w:tcBorders>
          </w:tcPr>
          <w:p w14:paraId="2910B9CF" w14:textId="51139971" w:rsidR="000136B6" w:rsidRPr="00362D0D" w:rsidRDefault="000136B6" w:rsidP="00362D0D">
            <w:pPr>
              <w:spacing w:after="0" w:line="240" w:lineRule="auto"/>
              <w:rPr>
                <w:rFonts w:ascii="Arial" w:eastAsia="Calibri" w:hAnsi="Arial" w:cs="Arial"/>
                <w:kern w:val="0"/>
                <w14:ligatures w14:val="none"/>
              </w:rPr>
            </w:pPr>
            <w:r w:rsidRPr="00362D0D">
              <w:rPr>
                <w:rFonts w:ascii="Arial" w:eastAsia="Calibri" w:hAnsi="Arial" w:cs="Arial"/>
                <w:kern w:val="0"/>
                <w14:ligatures w14:val="none"/>
              </w:rPr>
              <w:t>September 202</w:t>
            </w:r>
            <w:r w:rsidR="00D2428D">
              <w:rPr>
                <w:rFonts w:ascii="Arial" w:eastAsia="Calibri" w:hAnsi="Arial" w:cs="Arial"/>
                <w:kern w:val="0"/>
                <w14:ligatures w14:val="none"/>
              </w:rPr>
              <w:t>4</w:t>
            </w:r>
          </w:p>
        </w:tc>
      </w:tr>
      <w:tr w:rsidR="000136B6" w:rsidRPr="00362D0D" w14:paraId="18AA8BA1" w14:textId="77777777" w:rsidTr="000136B6">
        <w:trPr>
          <w:trHeight w:val="454"/>
        </w:trPr>
        <w:tc>
          <w:tcPr>
            <w:tcW w:w="3959" w:type="dxa"/>
            <w:tcBorders>
              <w:top w:val="single" w:sz="4" w:space="0" w:color="999999"/>
              <w:left w:val="single" w:sz="4" w:space="0" w:color="999999"/>
              <w:bottom w:val="single" w:sz="4" w:space="0" w:color="999999"/>
              <w:right w:val="single" w:sz="4" w:space="0" w:color="999999"/>
            </w:tcBorders>
            <w:hideMark/>
          </w:tcPr>
          <w:p w14:paraId="194D66A3" w14:textId="77777777" w:rsidR="000136B6" w:rsidRPr="00362D0D" w:rsidRDefault="000136B6" w:rsidP="00362D0D">
            <w:pPr>
              <w:spacing w:after="0" w:line="240" w:lineRule="auto"/>
              <w:rPr>
                <w:rFonts w:ascii="Arial" w:eastAsia="Calibri" w:hAnsi="Arial" w:cs="Arial"/>
                <w:b/>
                <w:kern w:val="0"/>
                <w14:ligatures w14:val="none"/>
              </w:rPr>
            </w:pPr>
            <w:r w:rsidRPr="00362D0D">
              <w:rPr>
                <w:rFonts w:ascii="Arial" w:eastAsia="Calibri" w:hAnsi="Arial" w:cs="Arial"/>
                <w:b/>
                <w:kern w:val="0"/>
                <w14:ligatures w14:val="none"/>
              </w:rPr>
              <w:t xml:space="preserve">Frequency of Review </w:t>
            </w:r>
          </w:p>
        </w:tc>
        <w:tc>
          <w:tcPr>
            <w:tcW w:w="5930" w:type="dxa"/>
            <w:tcBorders>
              <w:top w:val="single" w:sz="4" w:space="0" w:color="999999"/>
              <w:left w:val="single" w:sz="4" w:space="0" w:color="999999"/>
              <w:bottom w:val="single" w:sz="4" w:space="0" w:color="999999"/>
              <w:right w:val="single" w:sz="4" w:space="0" w:color="999999"/>
            </w:tcBorders>
            <w:hideMark/>
          </w:tcPr>
          <w:p w14:paraId="49673D61" w14:textId="77777777" w:rsidR="000136B6" w:rsidRPr="00362D0D" w:rsidRDefault="000136B6" w:rsidP="00362D0D">
            <w:pPr>
              <w:spacing w:after="0" w:line="240" w:lineRule="auto"/>
              <w:rPr>
                <w:rFonts w:ascii="Arial" w:eastAsia="Calibri" w:hAnsi="Arial" w:cs="Arial"/>
                <w:kern w:val="0"/>
                <w14:ligatures w14:val="none"/>
              </w:rPr>
            </w:pPr>
            <w:r w:rsidRPr="00362D0D">
              <w:rPr>
                <w:rFonts w:ascii="Arial" w:eastAsia="Calibri" w:hAnsi="Arial" w:cs="Arial"/>
                <w:kern w:val="0"/>
                <w14:ligatures w14:val="none"/>
              </w:rPr>
              <w:t>Every year</w:t>
            </w:r>
          </w:p>
        </w:tc>
      </w:tr>
      <w:tr w:rsidR="000136B6" w:rsidRPr="00362D0D" w14:paraId="5FA3B6C6" w14:textId="77777777" w:rsidTr="000136B6">
        <w:trPr>
          <w:trHeight w:val="454"/>
        </w:trPr>
        <w:tc>
          <w:tcPr>
            <w:tcW w:w="3959" w:type="dxa"/>
            <w:tcBorders>
              <w:top w:val="single" w:sz="4" w:space="0" w:color="999999"/>
              <w:left w:val="single" w:sz="4" w:space="0" w:color="999999"/>
              <w:bottom w:val="single" w:sz="4" w:space="0" w:color="999999"/>
              <w:right w:val="single" w:sz="4" w:space="0" w:color="999999"/>
            </w:tcBorders>
            <w:hideMark/>
          </w:tcPr>
          <w:p w14:paraId="61BB6DB6" w14:textId="77777777" w:rsidR="000136B6" w:rsidRPr="00362D0D" w:rsidRDefault="000136B6" w:rsidP="00362D0D">
            <w:pPr>
              <w:spacing w:after="0" w:line="240" w:lineRule="auto"/>
              <w:rPr>
                <w:rFonts w:ascii="Arial" w:eastAsia="Calibri" w:hAnsi="Arial" w:cs="Arial"/>
                <w:b/>
                <w:kern w:val="0"/>
                <w14:ligatures w14:val="none"/>
              </w:rPr>
            </w:pPr>
            <w:r w:rsidRPr="00362D0D">
              <w:rPr>
                <w:rFonts w:ascii="Arial" w:eastAsia="Calibri" w:hAnsi="Arial" w:cs="Arial"/>
                <w:b/>
                <w:kern w:val="0"/>
                <w14:ligatures w14:val="none"/>
              </w:rPr>
              <w:t xml:space="preserve">Date last Reviewed and Approved by Board of Governors  </w:t>
            </w:r>
          </w:p>
        </w:tc>
        <w:tc>
          <w:tcPr>
            <w:tcW w:w="5930" w:type="dxa"/>
            <w:tcBorders>
              <w:top w:val="single" w:sz="4" w:space="0" w:color="999999"/>
              <w:left w:val="single" w:sz="4" w:space="0" w:color="999999"/>
              <w:bottom w:val="single" w:sz="4" w:space="0" w:color="999999"/>
              <w:right w:val="single" w:sz="4" w:space="0" w:color="999999"/>
            </w:tcBorders>
          </w:tcPr>
          <w:p w14:paraId="6E6CD13B" w14:textId="29D31C17" w:rsidR="000136B6" w:rsidRPr="00362D0D" w:rsidRDefault="00D863D1" w:rsidP="00362D0D">
            <w:pPr>
              <w:spacing w:after="0" w:line="240" w:lineRule="auto"/>
              <w:rPr>
                <w:rFonts w:ascii="Arial" w:eastAsia="Calibri" w:hAnsi="Arial" w:cs="Arial"/>
                <w:kern w:val="0"/>
                <w14:ligatures w14:val="none"/>
              </w:rPr>
            </w:pPr>
            <w:r w:rsidRPr="00362D0D">
              <w:rPr>
                <w:rFonts w:ascii="Arial" w:eastAsia="Calibri" w:hAnsi="Arial" w:cs="Arial"/>
                <w:kern w:val="0"/>
                <w14:ligatures w14:val="none"/>
              </w:rPr>
              <w:t>February</w:t>
            </w:r>
            <w:r w:rsidR="000136B6" w:rsidRPr="00362D0D">
              <w:rPr>
                <w:rFonts w:ascii="Arial" w:eastAsia="Calibri" w:hAnsi="Arial" w:cs="Arial"/>
                <w:kern w:val="0"/>
                <w14:ligatures w14:val="none"/>
              </w:rPr>
              <w:t xml:space="preserve"> 202</w:t>
            </w:r>
            <w:r w:rsidRPr="00362D0D">
              <w:rPr>
                <w:rFonts w:ascii="Arial" w:eastAsia="Calibri" w:hAnsi="Arial" w:cs="Arial"/>
                <w:kern w:val="0"/>
                <w14:ligatures w14:val="none"/>
              </w:rPr>
              <w:t>4</w:t>
            </w:r>
          </w:p>
        </w:tc>
      </w:tr>
    </w:tbl>
    <w:p w14:paraId="028627CC" w14:textId="683AA583" w:rsidR="00D863D1" w:rsidRPr="00362D0D" w:rsidRDefault="00D863D1" w:rsidP="00362D0D">
      <w:pPr>
        <w:spacing w:after="0" w:line="240" w:lineRule="auto"/>
        <w:jc w:val="center"/>
        <w:rPr>
          <w:rFonts w:ascii="Arial" w:eastAsia="Calibri" w:hAnsi="Arial" w:cs="Arial"/>
          <w:b/>
          <w:bCs/>
          <w:kern w:val="0"/>
          <w14:ligatures w14:val="none"/>
        </w:rPr>
      </w:pPr>
      <w:r w:rsidRPr="00362D0D">
        <w:rPr>
          <w:rFonts w:ascii="Arial" w:hAnsi="Arial" w:cs="Arial"/>
          <w:noProof/>
        </w:rPr>
        <w:drawing>
          <wp:inline distT="0" distB="0" distL="0" distR="0" wp14:anchorId="2CEC7160" wp14:editId="05C6411A">
            <wp:extent cx="3761105" cy="3514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1105" cy="3514725"/>
                    </a:xfrm>
                    <a:prstGeom prst="rect">
                      <a:avLst/>
                    </a:prstGeom>
                    <a:noFill/>
                    <a:ln>
                      <a:noFill/>
                    </a:ln>
                  </pic:spPr>
                </pic:pic>
              </a:graphicData>
            </a:graphic>
          </wp:inline>
        </w:drawing>
      </w:r>
    </w:p>
    <w:p w14:paraId="198F96CF" w14:textId="7DCBF4B0" w:rsidR="00D863D1" w:rsidRPr="00362D0D" w:rsidRDefault="00D863D1" w:rsidP="00362D0D">
      <w:pPr>
        <w:spacing w:after="0" w:line="240" w:lineRule="auto"/>
        <w:jc w:val="center"/>
        <w:rPr>
          <w:rFonts w:ascii="Arial" w:eastAsia="Calibri" w:hAnsi="Arial" w:cs="Arial"/>
          <w:b/>
          <w:bCs/>
          <w:kern w:val="0"/>
          <w14:ligatures w14:val="none"/>
        </w:rPr>
      </w:pPr>
    </w:p>
    <w:p w14:paraId="4ACA2B9B" w14:textId="283F7AAC" w:rsidR="00D863D1" w:rsidRPr="00893814" w:rsidRDefault="00D863D1" w:rsidP="00362D0D">
      <w:pPr>
        <w:spacing w:after="0" w:line="240" w:lineRule="auto"/>
        <w:jc w:val="center"/>
        <w:rPr>
          <w:rFonts w:ascii="Arial" w:hAnsi="Arial" w:cs="Arial"/>
          <w:noProof/>
          <w:sz w:val="72"/>
          <w:szCs w:val="72"/>
        </w:rPr>
      </w:pPr>
      <w:r w:rsidRPr="00893814">
        <w:rPr>
          <w:rFonts w:ascii="Arial" w:eastAsia="Calibri" w:hAnsi="Arial" w:cs="Arial"/>
          <w:b/>
          <w:bCs/>
          <w:kern w:val="0"/>
          <w:sz w:val="72"/>
          <w:szCs w:val="72"/>
          <w14:ligatures w14:val="none"/>
        </w:rPr>
        <w:t>Examination Appeals Policy</w:t>
      </w:r>
      <w:r w:rsidRPr="00893814">
        <w:rPr>
          <w:rFonts w:ascii="Arial" w:hAnsi="Arial" w:cs="Arial"/>
          <w:noProof/>
          <w:sz w:val="72"/>
          <w:szCs w:val="72"/>
        </w:rPr>
        <w:t xml:space="preserve"> </w:t>
      </w:r>
    </w:p>
    <w:p w14:paraId="2651ECEE" w14:textId="77777777" w:rsidR="00D863D1" w:rsidRPr="00362D0D" w:rsidRDefault="00D863D1" w:rsidP="00362D0D">
      <w:pPr>
        <w:spacing w:after="0" w:line="240" w:lineRule="auto"/>
        <w:rPr>
          <w:rFonts w:ascii="Arial" w:hAnsi="Arial" w:cs="Arial"/>
          <w:noProof/>
        </w:rPr>
      </w:pPr>
      <w:r w:rsidRPr="00362D0D">
        <w:rPr>
          <w:rFonts w:ascii="Arial" w:hAnsi="Arial" w:cs="Arial"/>
          <w:noProof/>
        </w:rPr>
        <w:br w:type="page"/>
      </w:r>
    </w:p>
    <w:p w14:paraId="056677F8" w14:textId="77777777" w:rsidR="00D863D1" w:rsidRPr="00362D0D" w:rsidRDefault="00D863D1" w:rsidP="00362D0D">
      <w:pPr>
        <w:autoSpaceDE w:val="0"/>
        <w:autoSpaceDN w:val="0"/>
        <w:adjustRightInd w:val="0"/>
        <w:spacing w:after="0" w:line="240" w:lineRule="auto"/>
        <w:rPr>
          <w:rFonts w:ascii="Arial" w:hAnsi="Arial" w:cs="Arial"/>
          <w:b/>
          <w:bCs/>
          <w:color w:val="000000"/>
          <w:kern w:val="0"/>
          <w14:ligatures w14:val="none"/>
        </w:rPr>
      </w:pPr>
      <w:r w:rsidRPr="00362D0D">
        <w:rPr>
          <w:rFonts w:ascii="Arial" w:hAnsi="Arial" w:cs="Arial"/>
          <w:b/>
          <w:bCs/>
          <w:color w:val="000000"/>
          <w:kern w:val="0"/>
          <w14:ligatures w14:val="none"/>
        </w:rPr>
        <w:lastRenderedPageBreak/>
        <w:t xml:space="preserve">Rationale </w:t>
      </w:r>
    </w:p>
    <w:p w14:paraId="47152B3A" w14:textId="77777777" w:rsidR="00D863D1" w:rsidRPr="00362D0D" w:rsidRDefault="00D863D1" w:rsidP="00362D0D">
      <w:pPr>
        <w:autoSpaceDE w:val="0"/>
        <w:autoSpaceDN w:val="0"/>
        <w:adjustRightInd w:val="0"/>
        <w:spacing w:after="0" w:line="240" w:lineRule="auto"/>
        <w:rPr>
          <w:rFonts w:ascii="Arial" w:hAnsi="Arial" w:cs="Arial"/>
          <w:color w:val="000000"/>
          <w:kern w:val="0"/>
          <w14:ligatures w14:val="none"/>
        </w:rPr>
      </w:pPr>
    </w:p>
    <w:p w14:paraId="457ECDDC" w14:textId="77777777" w:rsidR="00362D0D" w:rsidRPr="00362D0D" w:rsidRDefault="00362D0D" w:rsidP="00362D0D">
      <w:pPr>
        <w:spacing w:after="0" w:line="240" w:lineRule="auto"/>
        <w:jc w:val="both"/>
        <w:rPr>
          <w:rFonts w:ascii="Arial" w:hAnsi="Arial" w:cs="Arial"/>
          <w:noProof/>
        </w:rPr>
      </w:pPr>
      <w:r w:rsidRPr="00362D0D">
        <w:rPr>
          <w:rFonts w:ascii="Arial" w:hAnsi="Arial" w:cs="Arial"/>
        </w:rPr>
        <w:t>Newry High School is committed to ensuring that whenever its staff mark candidates’ work this is done fairly, consistently and in accordance with the awarding body’s specification and subject-specific associated documents. Candidates’ work will be marked by staff who have appropriate knowledge, understanding and skill, and who have been trained in this activity. Newry High School is committed to ensuring that work produced by candidates is authenticated in line with the requirements of the awarding body. Where a number of subject teachers are involved in marking candidates’ work, internal moderation and standardisation will ensure consistency of marking.</w:t>
      </w:r>
      <w:r w:rsidRPr="00362D0D">
        <w:rPr>
          <w:rFonts w:ascii="Arial" w:hAnsi="Arial" w:cs="Arial"/>
          <w:noProof/>
        </w:rPr>
        <w:t xml:space="preserve"> </w:t>
      </w:r>
    </w:p>
    <w:p w14:paraId="172F111F" w14:textId="77777777" w:rsidR="00362D0D" w:rsidRDefault="00362D0D" w:rsidP="00362D0D">
      <w:pPr>
        <w:autoSpaceDE w:val="0"/>
        <w:autoSpaceDN w:val="0"/>
        <w:adjustRightInd w:val="0"/>
        <w:spacing w:after="0" w:line="240" w:lineRule="auto"/>
        <w:rPr>
          <w:rFonts w:ascii="Arial" w:hAnsi="Arial" w:cs="Arial"/>
          <w:b/>
          <w:bCs/>
          <w:color w:val="000000"/>
          <w:kern w:val="0"/>
          <w14:ligatures w14:val="none"/>
        </w:rPr>
      </w:pPr>
    </w:p>
    <w:p w14:paraId="0258C8F2" w14:textId="1505B64B" w:rsidR="00D863D1" w:rsidRPr="00362D0D" w:rsidRDefault="00D863D1" w:rsidP="00362D0D">
      <w:pPr>
        <w:autoSpaceDE w:val="0"/>
        <w:autoSpaceDN w:val="0"/>
        <w:adjustRightInd w:val="0"/>
        <w:spacing w:after="0" w:line="240" w:lineRule="auto"/>
        <w:rPr>
          <w:rFonts w:ascii="Arial" w:hAnsi="Arial" w:cs="Arial"/>
          <w:color w:val="000000"/>
          <w:kern w:val="0"/>
          <w14:ligatures w14:val="none"/>
        </w:rPr>
      </w:pPr>
      <w:r w:rsidRPr="00362D0D">
        <w:rPr>
          <w:rFonts w:ascii="Arial" w:hAnsi="Arial" w:cs="Arial"/>
          <w:b/>
          <w:bCs/>
          <w:color w:val="000000"/>
          <w:kern w:val="0"/>
          <w14:ligatures w14:val="none"/>
        </w:rPr>
        <w:t xml:space="preserve">Aims </w:t>
      </w:r>
    </w:p>
    <w:p w14:paraId="232196C6" w14:textId="77777777" w:rsidR="00D863D1" w:rsidRPr="00362D0D" w:rsidRDefault="00D863D1" w:rsidP="00362D0D">
      <w:pPr>
        <w:autoSpaceDE w:val="0"/>
        <w:autoSpaceDN w:val="0"/>
        <w:adjustRightInd w:val="0"/>
        <w:spacing w:after="0" w:line="240" w:lineRule="auto"/>
        <w:rPr>
          <w:rFonts w:ascii="Arial" w:hAnsi="Arial" w:cs="Arial"/>
          <w:color w:val="000000"/>
          <w:kern w:val="0"/>
          <w14:ligatures w14:val="none"/>
        </w:rPr>
      </w:pPr>
    </w:p>
    <w:p w14:paraId="5AA1FFE0" w14:textId="1B4C3565" w:rsidR="00D863D1" w:rsidRPr="00362D0D" w:rsidRDefault="00D863D1" w:rsidP="00362D0D">
      <w:pPr>
        <w:autoSpaceDE w:val="0"/>
        <w:autoSpaceDN w:val="0"/>
        <w:adjustRightInd w:val="0"/>
        <w:spacing w:after="0" w:line="240" w:lineRule="auto"/>
        <w:rPr>
          <w:rFonts w:ascii="Arial" w:hAnsi="Arial" w:cs="Arial"/>
          <w:color w:val="000000"/>
          <w:kern w:val="0"/>
          <w14:ligatures w14:val="none"/>
        </w:rPr>
      </w:pPr>
      <w:r w:rsidRPr="00362D0D">
        <w:rPr>
          <w:rFonts w:ascii="Arial" w:hAnsi="Arial" w:cs="Arial"/>
          <w:color w:val="000000"/>
          <w:kern w:val="0"/>
          <w14:ligatures w14:val="none"/>
        </w:rPr>
        <w:t xml:space="preserve">The purpose of this examinations appeals policy is to ensure that the management of appeals is conducted efficiently and in the best interest of our students and to ensure the operation of an efficient appeal system with clear guidelines for all relevant stakeholders. </w:t>
      </w:r>
    </w:p>
    <w:p w14:paraId="13E20BF8" w14:textId="77777777" w:rsidR="00D863D1" w:rsidRPr="00362D0D" w:rsidRDefault="00D863D1" w:rsidP="00362D0D">
      <w:pPr>
        <w:autoSpaceDE w:val="0"/>
        <w:autoSpaceDN w:val="0"/>
        <w:adjustRightInd w:val="0"/>
        <w:spacing w:after="0" w:line="240" w:lineRule="auto"/>
        <w:rPr>
          <w:rFonts w:ascii="Arial" w:hAnsi="Arial" w:cs="Arial"/>
          <w:color w:val="000000"/>
          <w:kern w:val="0"/>
          <w14:ligatures w14:val="none"/>
        </w:rPr>
      </w:pPr>
    </w:p>
    <w:p w14:paraId="3D161498" w14:textId="3BAA572D" w:rsidR="00D863D1" w:rsidRPr="00362D0D" w:rsidRDefault="00D863D1" w:rsidP="00362D0D">
      <w:pPr>
        <w:autoSpaceDE w:val="0"/>
        <w:autoSpaceDN w:val="0"/>
        <w:adjustRightInd w:val="0"/>
        <w:spacing w:after="0" w:line="240" w:lineRule="auto"/>
        <w:rPr>
          <w:rFonts w:ascii="Arial" w:hAnsi="Arial" w:cs="Arial"/>
          <w:color w:val="000000"/>
          <w:kern w:val="0"/>
          <w14:ligatures w14:val="none"/>
        </w:rPr>
      </w:pPr>
      <w:r w:rsidRPr="00362D0D">
        <w:rPr>
          <w:rFonts w:ascii="Arial" w:hAnsi="Arial" w:cs="Arial"/>
          <w:color w:val="000000"/>
          <w:kern w:val="0"/>
          <w14:ligatures w14:val="none"/>
        </w:rPr>
        <w:t>This policy is written in accordance with the following Joint Council for Qualifications (JCQ)</w:t>
      </w:r>
      <w:r w:rsidR="00893814">
        <w:rPr>
          <w:rFonts w:ascii="Arial" w:hAnsi="Arial" w:cs="Arial"/>
          <w:color w:val="000000"/>
          <w:kern w:val="0"/>
          <w14:ligatures w14:val="none"/>
        </w:rPr>
        <w:t xml:space="preserve"> g</w:t>
      </w:r>
      <w:r w:rsidRPr="00362D0D">
        <w:rPr>
          <w:rFonts w:ascii="Arial" w:hAnsi="Arial" w:cs="Arial"/>
          <w:color w:val="000000"/>
          <w:kern w:val="0"/>
          <w14:ligatures w14:val="none"/>
        </w:rPr>
        <w:t xml:space="preserve">uidance documents: </w:t>
      </w:r>
    </w:p>
    <w:p w14:paraId="5D8A77D4" w14:textId="77777777" w:rsidR="00D863D1" w:rsidRPr="00362D0D" w:rsidRDefault="00D863D1" w:rsidP="00362D0D">
      <w:pPr>
        <w:autoSpaceDE w:val="0"/>
        <w:autoSpaceDN w:val="0"/>
        <w:adjustRightInd w:val="0"/>
        <w:spacing w:after="0" w:line="240" w:lineRule="auto"/>
        <w:rPr>
          <w:rFonts w:ascii="Arial" w:hAnsi="Arial" w:cs="Arial"/>
          <w:color w:val="000000"/>
          <w:kern w:val="0"/>
          <w14:ligatures w14:val="none"/>
        </w:rPr>
      </w:pPr>
    </w:p>
    <w:p w14:paraId="55B11917" w14:textId="77777777" w:rsidR="00D863D1" w:rsidRPr="00362D0D" w:rsidRDefault="00D863D1" w:rsidP="00362D0D">
      <w:pPr>
        <w:pStyle w:val="Default"/>
        <w:numPr>
          <w:ilvl w:val="0"/>
          <w:numId w:val="18"/>
        </w:numPr>
        <w:rPr>
          <w:color w:val="auto"/>
          <w:sz w:val="22"/>
          <w:szCs w:val="22"/>
        </w:rPr>
      </w:pPr>
      <w:r w:rsidRPr="00362D0D">
        <w:rPr>
          <w:color w:val="auto"/>
          <w:sz w:val="22"/>
          <w:szCs w:val="22"/>
        </w:rPr>
        <w:t xml:space="preserve">JCQ General Regulations for approved centres </w:t>
      </w:r>
      <w:hyperlink r:id="rId8" w:history="1">
        <w:r w:rsidRPr="00362D0D">
          <w:rPr>
            <w:rStyle w:val="Hyperlink"/>
            <w:sz w:val="22"/>
            <w:szCs w:val="22"/>
          </w:rPr>
          <w:t>http://www.jcq.org.uk/examsoffice/general-regulations</w:t>
        </w:r>
      </w:hyperlink>
      <w:r w:rsidRPr="00362D0D">
        <w:rPr>
          <w:color w:val="auto"/>
          <w:sz w:val="22"/>
          <w:szCs w:val="22"/>
        </w:rPr>
        <w:t xml:space="preserve"> </w:t>
      </w:r>
    </w:p>
    <w:p w14:paraId="061C76ED" w14:textId="77777777" w:rsidR="00D863D1" w:rsidRPr="00362D0D" w:rsidRDefault="00D863D1" w:rsidP="00362D0D">
      <w:pPr>
        <w:pStyle w:val="Default"/>
        <w:numPr>
          <w:ilvl w:val="0"/>
          <w:numId w:val="18"/>
        </w:numPr>
        <w:rPr>
          <w:color w:val="auto"/>
          <w:sz w:val="22"/>
          <w:szCs w:val="22"/>
        </w:rPr>
      </w:pPr>
      <w:r w:rsidRPr="00362D0D">
        <w:rPr>
          <w:color w:val="auto"/>
          <w:sz w:val="22"/>
          <w:szCs w:val="22"/>
        </w:rPr>
        <w:t xml:space="preserve">JCQ Post-results services </w:t>
      </w:r>
      <w:hyperlink r:id="rId9" w:history="1">
        <w:r w:rsidRPr="00362D0D">
          <w:rPr>
            <w:rStyle w:val="Hyperlink"/>
            <w:sz w:val="22"/>
            <w:szCs w:val="22"/>
          </w:rPr>
          <w:t>http://www.jcq.org.uk/exams-office/post-resultsservices</w:t>
        </w:r>
      </w:hyperlink>
    </w:p>
    <w:p w14:paraId="0D0B2756" w14:textId="77777777" w:rsidR="00D863D1" w:rsidRPr="00362D0D" w:rsidRDefault="00D863D1" w:rsidP="00362D0D">
      <w:pPr>
        <w:pStyle w:val="Default"/>
        <w:numPr>
          <w:ilvl w:val="0"/>
          <w:numId w:val="18"/>
        </w:numPr>
        <w:rPr>
          <w:color w:val="auto"/>
          <w:sz w:val="22"/>
          <w:szCs w:val="22"/>
        </w:rPr>
      </w:pPr>
      <w:r w:rsidRPr="00362D0D">
        <w:rPr>
          <w:color w:val="auto"/>
          <w:sz w:val="22"/>
          <w:szCs w:val="22"/>
        </w:rPr>
        <w:t xml:space="preserve">JCQ A guide to the awarding bodies’ appeals processes </w:t>
      </w:r>
      <w:hyperlink r:id="rId10" w:history="1">
        <w:r w:rsidRPr="00362D0D">
          <w:rPr>
            <w:rStyle w:val="Hyperlink"/>
            <w:sz w:val="22"/>
            <w:szCs w:val="22"/>
          </w:rPr>
          <w:t>http://www.jcq.org.uk/exams-office/appeals</w:t>
        </w:r>
      </w:hyperlink>
      <w:r w:rsidRPr="00362D0D">
        <w:rPr>
          <w:color w:val="auto"/>
          <w:sz w:val="22"/>
          <w:szCs w:val="22"/>
        </w:rPr>
        <w:t xml:space="preserve"> </w:t>
      </w:r>
    </w:p>
    <w:p w14:paraId="7FF0BB6C" w14:textId="77777777" w:rsidR="00D863D1" w:rsidRPr="00362D0D" w:rsidRDefault="00D863D1" w:rsidP="00362D0D">
      <w:pPr>
        <w:pStyle w:val="Default"/>
        <w:numPr>
          <w:ilvl w:val="0"/>
          <w:numId w:val="18"/>
        </w:numPr>
        <w:rPr>
          <w:color w:val="auto"/>
          <w:sz w:val="22"/>
          <w:szCs w:val="22"/>
        </w:rPr>
      </w:pPr>
      <w:r w:rsidRPr="00362D0D">
        <w:rPr>
          <w:color w:val="auto"/>
          <w:sz w:val="22"/>
          <w:szCs w:val="22"/>
        </w:rPr>
        <w:t xml:space="preserve">Ofqual GCSE, GCE, Principal Learning and Project Code of Practice </w:t>
      </w:r>
    </w:p>
    <w:p w14:paraId="6A730EF3" w14:textId="77777777" w:rsidR="00D863D1" w:rsidRPr="00362D0D" w:rsidRDefault="00D863D1" w:rsidP="00362D0D">
      <w:pPr>
        <w:autoSpaceDE w:val="0"/>
        <w:autoSpaceDN w:val="0"/>
        <w:adjustRightInd w:val="0"/>
        <w:spacing w:after="0" w:line="240" w:lineRule="auto"/>
        <w:rPr>
          <w:rFonts w:ascii="Arial" w:hAnsi="Arial" w:cs="Arial"/>
          <w:color w:val="000000"/>
          <w:kern w:val="0"/>
          <w14:ligatures w14:val="none"/>
        </w:rPr>
      </w:pPr>
    </w:p>
    <w:p w14:paraId="5B116129" w14:textId="77777777" w:rsidR="00D863D1" w:rsidRPr="00362D0D" w:rsidRDefault="00D863D1" w:rsidP="00362D0D">
      <w:pPr>
        <w:autoSpaceDE w:val="0"/>
        <w:autoSpaceDN w:val="0"/>
        <w:adjustRightInd w:val="0"/>
        <w:spacing w:after="0" w:line="240" w:lineRule="auto"/>
        <w:rPr>
          <w:rFonts w:ascii="Arial" w:hAnsi="Arial" w:cs="Arial"/>
          <w:color w:val="000000"/>
          <w:kern w:val="0"/>
          <w14:ligatures w14:val="none"/>
        </w:rPr>
      </w:pPr>
      <w:r w:rsidRPr="00362D0D">
        <w:rPr>
          <w:rFonts w:ascii="Arial" w:hAnsi="Arial" w:cs="Arial"/>
          <w:color w:val="000000"/>
          <w:kern w:val="0"/>
          <w14:ligatures w14:val="none"/>
        </w:rPr>
        <w:t xml:space="preserve">The following School policies are also relevant: </w:t>
      </w:r>
    </w:p>
    <w:p w14:paraId="44C9366A" w14:textId="77777777" w:rsidR="00D863D1" w:rsidRPr="00362D0D" w:rsidRDefault="00D863D1" w:rsidP="00362D0D">
      <w:pPr>
        <w:autoSpaceDE w:val="0"/>
        <w:autoSpaceDN w:val="0"/>
        <w:adjustRightInd w:val="0"/>
        <w:spacing w:after="0" w:line="240" w:lineRule="auto"/>
        <w:rPr>
          <w:rFonts w:ascii="Arial" w:hAnsi="Arial" w:cs="Arial"/>
          <w:color w:val="000000"/>
          <w:kern w:val="0"/>
          <w14:ligatures w14:val="none"/>
        </w:rPr>
      </w:pPr>
    </w:p>
    <w:p w14:paraId="4EE20335" w14:textId="7B331224" w:rsidR="00D863D1" w:rsidRPr="00362D0D" w:rsidRDefault="00D863D1" w:rsidP="00362D0D">
      <w:pPr>
        <w:numPr>
          <w:ilvl w:val="0"/>
          <w:numId w:val="17"/>
        </w:numPr>
        <w:autoSpaceDE w:val="0"/>
        <w:autoSpaceDN w:val="0"/>
        <w:adjustRightInd w:val="0"/>
        <w:spacing w:after="0" w:line="240" w:lineRule="auto"/>
        <w:rPr>
          <w:rFonts w:ascii="Arial" w:hAnsi="Arial" w:cs="Arial"/>
          <w:color w:val="000000"/>
          <w:kern w:val="0"/>
          <w14:ligatures w14:val="none"/>
        </w:rPr>
      </w:pPr>
      <w:r w:rsidRPr="00362D0D">
        <w:rPr>
          <w:rFonts w:ascii="Arial" w:hAnsi="Arial" w:cs="Arial"/>
          <w:color w:val="000000"/>
          <w:kern w:val="0"/>
          <w14:ligatures w14:val="none"/>
        </w:rPr>
        <w:t xml:space="preserve">Examination </w:t>
      </w:r>
      <w:r w:rsidR="006E61BB" w:rsidRPr="00362D0D">
        <w:rPr>
          <w:rFonts w:ascii="Arial" w:hAnsi="Arial" w:cs="Arial"/>
          <w:color w:val="000000"/>
          <w:kern w:val="0"/>
          <w14:ligatures w14:val="none"/>
        </w:rPr>
        <w:t>p</w:t>
      </w:r>
      <w:r w:rsidRPr="00362D0D">
        <w:rPr>
          <w:rFonts w:ascii="Arial" w:hAnsi="Arial" w:cs="Arial"/>
          <w:color w:val="000000"/>
          <w:kern w:val="0"/>
          <w14:ligatures w14:val="none"/>
        </w:rPr>
        <w:t>olicy</w:t>
      </w:r>
    </w:p>
    <w:p w14:paraId="1795FA07" w14:textId="54B4FD91" w:rsidR="006E61BB" w:rsidRPr="00362D0D" w:rsidRDefault="006E61BB" w:rsidP="00362D0D">
      <w:pPr>
        <w:numPr>
          <w:ilvl w:val="0"/>
          <w:numId w:val="17"/>
        </w:numPr>
        <w:autoSpaceDE w:val="0"/>
        <w:autoSpaceDN w:val="0"/>
        <w:adjustRightInd w:val="0"/>
        <w:spacing w:after="0" w:line="240" w:lineRule="auto"/>
        <w:rPr>
          <w:rFonts w:ascii="Arial" w:hAnsi="Arial" w:cs="Arial"/>
          <w:color w:val="000000"/>
          <w:kern w:val="0"/>
          <w14:ligatures w14:val="none"/>
        </w:rPr>
      </w:pPr>
      <w:r w:rsidRPr="00362D0D">
        <w:rPr>
          <w:rFonts w:ascii="Arial" w:hAnsi="Arial" w:cs="Arial"/>
          <w:color w:val="000000"/>
          <w:kern w:val="0"/>
          <w14:ligatures w14:val="none"/>
        </w:rPr>
        <w:t>Complaints policy</w:t>
      </w:r>
    </w:p>
    <w:p w14:paraId="76395626" w14:textId="7C4A711B" w:rsidR="00D863D1" w:rsidRPr="00362D0D" w:rsidRDefault="00D863D1" w:rsidP="00362D0D">
      <w:pPr>
        <w:numPr>
          <w:ilvl w:val="0"/>
          <w:numId w:val="17"/>
        </w:numPr>
        <w:autoSpaceDE w:val="0"/>
        <w:autoSpaceDN w:val="0"/>
        <w:adjustRightInd w:val="0"/>
        <w:spacing w:after="0" w:line="240" w:lineRule="auto"/>
        <w:rPr>
          <w:rFonts w:ascii="Arial" w:hAnsi="Arial" w:cs="Arial"/>
          <w:color w:val="000000"/>
          <w:kern w:val="0"/>
          <w14:ligatures w14:val="none"/>
        </w:rPr>
      </w:pPr>
      <w:r w:rsidRPr="00362D0D">
        <w:rPr>
          <w:rFonts w:ascii="Arial" w:hAnsi="Arial" w:cs="Arial"/>
          <w:color w:val="000000"/>
          <w:kern w:val="0"/>
          <w14:ligatures w14:val="none"/>
        </w:rPr>
        <w:t>Controlled Assessment policy</w:t>
      </w:r>
    </w:p>
    <w:p w14:paraId="06900807" w14:textId="77777777" w:rsidR="00D863D1" w:rsidRPr="00362D0D" w:rsidRDefault="00D863D1" w:rsidP="00362D0D">
      <w:pPr>
        <w:numPr>
          <w:ilvl w:val="0"/>
          <w:numId w:val="17"/>
        </w:numPr>
        <w:autoSpaceDE w:val="0"/>
        <w:autoSpaceDN w:val="0"/>
        <w:adjustRightInd w:val="0"/>
        <w:spacing w:after="0" w:line="240" w:lineRule="auto"/>
        <w:rPr>
          <w:rFonts w:ascii="Arial" w:hAnsi="Arial" w:cs="Arial"/>
          <w:color w:val="000000"/>
          <w:kern w:val="0"/>
          <w14:ligatures w14:val="none"/>
        </w:rPr>
      </w:pPr>
      <w:r w:rsidRPr="00362D0D">
        <w:rPr>
          <w:rFonts w:ascii="Arial" w:hAnsi="Arial" w:cs="Arial"/>
          <w:color w:val="000000"/>
          <w:kern w:val="0"/>
          <w14:ligatures w14:val="none"/>
        </w:rPr>
        <w:t>SEN policy</w:t>
      </w:r>
    </w:p>
    <w:p w14:paraId="717E9779" w14:textId="77777777" w:rsidR="00D863D1" w:rsidRPr="00362D0D" w:rsidRDefault="00D863D1" w:rsidP="00362D0D">
      <w:pPr>
        <w:numPr>
          <w:ilvl w:val="0"/>
          <w:numId w:val="17"/>
        </w:numPr>
        <w:autoSpaceDE w:val="0"/>
        <w:autoSpaceDN w:val="0"/>
        <w:adjustRightInd w:val="0"/>
        <w:spacing w:after="0" w:line="240" w:lineRule="auto"/>
        <w:rPr>
          <w:rFonts w:ascii="Arial" w:hAnsi="Arial" w:cs="Arial"/>
          <w:color w:val="000000"/>
          <w:kern w:val="0"/>
          <w14:ligatures w14:val="none"/>
        </w:rPr>
      </w:pPr>
      <w:r w:rsidRPr="00362D0D">
        <w:rPr>
          <w:rFonts w:ascii="Arial" w:hAnsi="Arial" w:cs="Arial"/>
          <w:color w:val="000000"/>
          <w:kern w:val="0"/>
          <w14:ligatures w14:val="none"/>
        </w:rPr>
        <w:t>Charging policy</w:t>
      </w:r>
    </w:p>
    <w:p w14:paraId="2085F30C" w14:textId="77777777" w:rsidR="00D863D1" w:rsidRPr="00362D0D" w:rsidRDefault="00D863D1" w:rsidP="00362D0D">
      <w:pPr>
        <w:numPr>
          <w:ilvl w:val="0"/>
          <w:numId w:val="17"/>
        </w:numPr>
        <w:autoSpaceDE w:val="0"/>
        <w:autoSpaceDN w:val="0"/>
        <w:adjustRightInd w:val="0"/>
        <w:spacing w:after="0" w:line="240" w:lineRule="auto"/>
        <w:rPr>
          <w:rFonts w:ascii="Arial" w:hAnsi="Arial" w:cs="Arial"/>
          <w:color w:val="000000"/>
          <w:kern w:val="0"/>
          <w14:ligatures w14:val="none"/>
        </w:rPr>
      </w:pPr>
      <w:r w:rsidRPr="00362D0D">
        <w:rPr>
          <w:rFonts w:ascii="Arial" w:hAnsi="Arial" w:cs="Arial"/>
          <w:color w:val="000000"/>
          <w:kern w:val="0"/>
          <w14:ligatures w14:val="none"/>
        </w:rPr>
        <w:t>BTEC procedures and policies document</w:t>
      </w:r>
    </w:p>
    <w:p w14:paraId="4DC9D106" w14:textId="77777777" w:rsidR="00D863D1" w:rsidRPr="00362D0D" w:rsidRDefault="00D863D1" w:rsidP="00362D0D">
      <w:pPr>
        <w:autoSpaceDE w:val="0"/>
        <w:autoSpaceDN w:val="0"/>
        <w:adjustRightInd w:val="0"/>
        <w:spacing w:after="0" w:line="240" w:lineRule="auto"/>
        <w:rPr>
          <w:rFonts w:ascii="Arial" w:hAnsi="Arial" w:cs="Arial"/>
          <w:kern w:val="0"/>
          <w14:ligatures w14:val="none"/>
        </w:rPr>
      </w:pPr>
    </w:p>
    <w:p w14:paraId="087536ED" w14:textId="10DF3417" w:rsidR="006E61BB" w:rsidRPr="00362D0D" w:rsidRDefault="006E61BB" w:rsidP="00362D0D">
      <w:pPr>
        <w:spacing w:after="0" w:line="240" w:lineRule="auto"/>
        <w:rPr>
          <w:rFonts w:ascii="Arial" w:hAnsi="Arial" w:cs="Arial"/>
          <w:b/>
          <w:bCs/>
          <w:color w:val="000000"/>
          <w:kern w:val="0"/>
        </w:rPr>
      </w:pPr>
    </w:p>
    <w:p w14:paraId="2C60BE43" w14:textId="714BEAA2" w:rsidR="00080BBE" w:rsidRPr="00362D0D" w:rsidRDefault="00080BBE" w:rsidP="00362D0D">
      <w:pPr>
        <w:pStyle w:val="Default"/>
        <w:rPr>
          <w:sz w:val="22"/>
          <w:szCs w:val="22"/>
        </w:rPr>
      </w:pPr>
      <w:r w:rsidRPr="00362D0D">
        <w:rPr>
          <w:b/>
          <w:bCs/>
          <w:sz w:val="22"/>
          <w:szCs w:val="22"/>
        </w:rPr>
        <w:t xml:space="preserve">Complaints in relation to examinations </w:t>
      </w:r>
    </w:p>
    <w:p w14:paraId="499B3D58" w14:textId="77777777" w:rsidR="00080BBE" w:rsidRPr="00362D0D" w:rsidRDefault="00080BBE" w:rsidP="00362D0D">
      <w:pPr>
        <w:pStyle w:val="Default"/>
        <w:rPr>
          <w:sz w:val="22"/>
          <w:szCs w:val="22"/>
        </w:rPr>
      </w:pPr>
    </w:p>
    <w:p w14:paraId="262467CC" w14:textId="77777777" w:rsidR="00133017" w:rsidRPr="00362D0D" w:rsidRDefault="00133017" w:rsidP="00362D0D">
      <w:pPr>
        <w:pStyle w:val="Default"/>
        <w:rPr>
          <w:sz w:val="22"/>
          <w:szCs w:val="22"/>
        </w:rPr>
      </w:pPr>
      <w:r w:rsidRPr="00362D0D">
        <w:rPr>
          <w:sz w:val="22"/>
          <w:szCs w:val="22"/>
        </w:rPr>
        <w:t xml:space="preserve">If a candidate (or their parent/carer) has a general concern or complaint about the centre’s delivery or administration of a qualification they are following, Newry High School encourages them to try to resolve this informally in the first instance. A concern should be made in person, by telephone or in writing to the head of centre. If a concern / complaint fails to be resolved informally, the candidate (or their parent/carer) is then at liberty to make a formal complaint. </w:t>
      </w:r>
    </w:p>
    <w:p w14:paraId="144B7E8D" w14:textId="77777777" w:rsidR="00133017" w:rsidRPr="00362D0D" w:rsidRDefault="00133017" w:rsidP="00362D0D">
      <w:pPr>
        <w:pStyle w:val="Default"/>
        <w:rPr>
          <w:sz w:val="22"/>
          <w:szCs w:val="22"/>
        </w:rPr>
      </w:pPr>
    </w:p>
    <w:p w14:paraId="5B2FD1B5" w14:textId="77777777" w:rsidR="00133017" w:rsidRPr="004C5469" w:rsidRDefault="00133017" w:rsidP="00362D0D">
      <w:pPr>
        <w:adjustRightInd w:val="0"/>
        <w:spacing w:after="0" w:line="240" w:lineRule="auto"/>
        <w:jc w:val="both"/>
        <w:rPr>
          <w:rFonts w:ascii="Arial" w:hAnsi="Arial" w:cs="Arial"/>
          <w:u w:val="single"/>
        </w:rPr>
      </w:pPr>
      <w:r w:rsidRPr="004C5469">
        <w:rPr>
          <w:rFonts w:ascii="Arial" w:hAnsi="Arial" w:cs="Arial"/>
          <w:u w:val="single"/>
        </w:rPr>
        <w:t>Making a formal complaint</w:t>
      </w:r>
    </w:p>
    <w:p w14:paraId="2979EDA1" w14:textId="77777777" w:rsidR="00362D0D" w:rsidRPr="00362D0D" w:rsidRDefault="00362D0D" w:rsidP="00362D0D">
      <w:pPr>
        <w:adjustRightInd w:val="0"/>
        <w:spacing w:after="0" w:line="240" w:lineRule="auto"/>
        <w:jc w:val="both"/>
        <w:rPr>
          <w:rFonts w:ascii="Arial" w:hAnsi="Arial" w:cs="Arial"/>
        </w:rPr>
      </w:pPr>
    </w:p>
    <w:p w14:paraId="117A0F4C" w14:textId="6E11747D" w:rsidR="00133017" w:rsidRDefault="00133017" w:rsidP="00362D0D">
      <w:pPr>
        <w:adjustRightInd w:val="0"/>
        <w:spacing w:after="0" w:line="240" w:lineRule="auto"/>
        <w:jc w:val="both"/>
        <w:rPr>
          <w:rFonts w:ascii="Arial" w:hAnsi="Arial" w:cs="Arial"/>
        </w:rPr>
      </w:pPr>
      <w:r w:rsidRPr="00362D0D">
        <w:rPr>
          <w:rFonts w:ascii="Arial" w:hAnsi="Arial" w:cs="Arial"/>
          <w:bCs/>
          <w:lang w:eastAsia="en-GB"/>
        </w:rPr>
        <w:t xml:space="preserve">The school requires complaints to be made in writing to the principal / head of centre and should </w:t>
      </w:r>
      <w:r w:rsidRPr="00362D0D">
        <w:rPr>
          <w:rFonts w:ascii="Arial" w:hAnsi="Arial" w:cs="Arial"/>
        </w:rPr>
        <w:t>provide as much information as possible including;</w:t>
      </w:r>
    </w:p>
    <w:p w14:paraId="5C66AE8A" w14:textId="77777777" w:rsidR="00362D0D" w:rsidRPr="00362D0D" w:rsidRDefault="00362D0D" w:rsidP="00362D0D">
      <w:pPr>
        <w:adjustRightInd w:val="0"/>
        <w:spacing w:after="0" w:line="240" w:lineRule="auto"/>
        <w:jc w:val="both"/>
        <w:rPr>
          <w:rFonts w:ascii="Arial" w:hAnsi="Arial" w:cs="Arial"/>
        </w:rPr>
      </w:pPr>
    </w:p>
    <w:p w14:paraId="12A98DAF" w14:textId="77777777" w:rsidR="00133017" w:rsidRPr="00362D0D" w:rsidRDefault="00133017" w:rsidP="00362D0D">
      <w:pPr>
        <w:pStyle w:val="ListParagraph"/>
        <w:widowControl w:val="0"/>
        <w:numPr>
          <w:ilvl w:val="0"/>
          <w:numId w:val="21"/>
        </w:numPr>
        <w:suppressAutoHyphens/>
        <w:overflowPunct w:val="0"/>
        <w:autoSpaceDE w:val="0"/>
        <w:autoSpaceDN w:val="0"/>
        <w:spacing w:after="0" w:line="240" w:lineRule="auto"/>
        <w:jc w:val="both"/>
        <w:textAlignment w:val="baseline"/>
        <w:rPr>
          <w:rFonts w:ascii="Arial" w:hAnsi="Arial" w:cs="Arial"/>
        </w:rPr>
      </w:pPr>
      <w:r w:rsidRPr="00362D0D">
        <w:rPr>
          <w:rFonts w:ascii="Arial" w:hAnsi="Arial" w:cs="Arial"/>
        </w:rPr>
        <w:t>name and contact details</w:t>
      </w:r>
    </w:p>
    <w:p w14:paraId="0DAD3976" w14:textId="77777777" w:rsidR="00133017" w:rsidRPr="00362D0D" w:rsidRDefault="00133017" w:rsidP="00362D0D">
      <w:pPr>
        <w:pStyle w:val="ListParagraph"/>
        <w:widowControl w:val="0"/>
        <w:numPr>
          <w:ilvl w:val="0"/>
          <w:numId w:val="21"/>
        </w:numPr>
        <w:suppressAutoHyphens/>
        <w:overflowPunct w:val="0"/>
        <w:autoSpaceDE w:val="0"/>
        <w:autoSpaceDN w:val="0"/>
        <w:spacing w:after="0" w:line="240" w:lineRule="auto"/>
        <w:jc w:val="both"/>
        <w:textAlignment w:val="baseline"/>
        <w:rPr>
          <w:rFonts w:ascii="Arial" w:hAnsi="Arial" w:cs="Arial"/>
        </w:rPr>
      </w:pPr>
      <w:r w:rsidRPr="00362D0D">
        <w:rPr>
          <w:rFonts w:ascii="Arial" w:hAnsi="Arial" w:cs="Arial"/>
        </w:rPr>
        <w:t>what the complaint is about</w:t>
      </w:r>
    </w:p>
    <w:p w14:paraId="498210E6" w14:textId="77777777" w:rsidR="00133017" w:rsidRPr="00362D0D" w:rsidRDefault="00133017" w:rsidP="00362D0D">
      <w:pPr>
        <w:pStyle w:val="ListParagraph"/>
        <w:widowControl w:val="0"/>
        <w:numPr>
          <w:ilvl w:val="0"/>
          <w:numId w:val="21"/>
        </w:numPr>
        <w:suppressAutoHyphens/>
        <w:overflowPunct w:val="0"/>
        <w:autoSpaceDE w:val="0"/>
        <w:autoSpaceDN w:val="0"/>
        <w:spacing w:after="0" w:line="240" w:lineRule="auto"/>
        <w:jc w:val="both"/>
        <w:textAlignment w:val="baseline"/>
        <w:rPr>
          <w:rFonts w:ascii="Arial" w:hAnsi="Arial" w:cs="Arial"/>
        </w:rPr>
      </w:pPr>
      <w:r w:rsidRPr="00362D0D">
        <w:rPr>
          <w:rFonts w:ascii="Arial" w:hAnsi="Arial" w:cs="Arial"/>
        </w:rPr>
        <w:t>what has already been done to try to resolve it and</w:t>
      </w:r>
    </w:p>
    <w:p w14:paraId="1DCF27C4" w14:textId="77777777" w:rsidR="00133017" w:rsidRPr="00362D0D" w:rsidRDefault="00133017" w:rsidP="00362D0D">
      <w:pPr>
        <w:pStyle w:val="ListParagraph"/>
        <w:widowControl w:val="0"/>
        <w:numPr>
          <w:ilvl w:val="0"/>
          <w:numId w:val="21"/>
        </w:numPr>
        <w:suppressAutoHyphens/>
        <w:overflowPunct w:val="0"/>
        <w:autoSpaceDE w:val="0"/>
        <w:autoSpaceDN w:val="0"/>
        <w:spacing w:after="0" w:line="240" w:lineRule="auto"/>
        <w:jc w:val="both"/>
        <w:textAlignment w:val="baseline"/>
        <w:rPr>
          <w:rFonts w:ascii="Arial" w:hAnsi="Arial" w:cs="Arial"/>
        </w:rPr>
      </w:pPr>
      <w:r w:rsidRPr="00362D0D">
        <w:rPr>
          <w:rFonts w:ascii="Arial" w:hAnsi="Arial" w:cs="Arial"/>
        </w:rPr>
        <w:t>what you would like the school to do to resolve the complaint.</w:t>
      </w:r>
    </w:p>
    <w:p w14:paraId="2935C4A9" w14:textId="77777777" w:rsidR="00133017" w:rsidRPr="00362D0D" w:rsidRDefault="00133017" w:rsidP="00362D0D">
      <w:pPr>
        <w:spacing w:after="0" w:line="240" w:lineRule="auto"/>
        <w:jc w:val="both"/>
        <w:rPr>
          <w:rFonts w:ascii="Arial" w:hAnsi="Arial" w:cs="Arial"/>
        </w:rPr>
      </w:pPr>
    </w:p>
    <w:p w14:paraId="2016CD42" w14:textId="55B47AB1" w:rsidR="00362D0D" w:rsidRDefault="00133017" w:rsidP="00362D0D">
      <w:pPr>
        <w:spacing w:after="0" w:line="240" w:lineRule="auto"/>
        <w:jc w:val="both"/>
        <w:rPr>
          <w:rFonts w:ascii="Arial" w:hAnsi="Arial" w:cs="Arial"/>
        </w:rPr>
      </w:pPr>
      <w:r w:rsidRPr="00362D0D">
        <w:rPr>
          <w:rFonts w:ascii="Arial" w:hAnsi="Arial" w:cs="Arial"/>
        </w:rPr>
        <w:t xml:space="preserve">The complaint will normally be acknowledged within 5 school working days. The </w:t>
      </w:r>
      <w:r w:rsidR="004C5469" w:rsidRPr="00362D0D">
        <w:rPr>
          <w:rFonts w:ascii="Arial" w:hAnsi="Arial" w:cs="Arial"/>
        </w:rPr>
        <w:t>principal</w:t>
      </w:r>
      <w:r w:rsidR="00362D0D" w:rsidRPr="00362D0D">
        <w:rPr>
          <w:rFonts w:ascii="Arial" w:hAnsi="Arial" w:cs="Arial"/>
        </w:rPr>
        <w:t xml:space="preserve"> / </w:t>
      </w:r>
      <w:r w:rsidRPr="00362D0D">
        <w:rPr>
          <w:rFonts w:ascii="Arial" w:hAnsi="Arial" w:cs="Arial"/>
        </w:rPr>
        <w:t xml:space="preserve">head of centre will then further investigate or appoint a member of the senior leadership team who is not </w:t>
      </w:r>
      <w:r w:rsidRPr="00362D0D">
        <w:rPr>
          <w:rFonts w:ascii="Arial" w:hAnsi="Arial" w:cs="Arial"/>
        </w:rPr>
        <w:lastRenderedPageBreak/>
        <w:t xml:space="preserve">involved in the grounds for complaint and has no personal interest in the outcome to investigate the complaint and report on the findings and conclusion. A response will normally be made within 20 school working days of receipt of the complaint. This response will be issued in writing by the </w:t>
      </w:r>
      <w:r w:rsidR="00362D0D" w:rsidRPr="00362D0D">
        <w:rPr>
          <w:rFonts w:ascii="Arial" w:hAnsi="Arial" w:cs="Arial"/>
        </w:rPr>
        <w:t>principal</w:t>
      </w:r>
      <w:r w:rsidRPr="00362D0D">
        <w:rPr>
          <w:rFonts w:ascii="Arial" w:hAnsi="Arial" w:cs="Arial"/>
        </w:rPr>
        <w:t xml:space="preserve"> and will indicate with reasons whether the complaint has been upheld, partially upheld or not upheld. </w:t>
      </w:r>
    </w:p>
    <w:p w14:paraId="29D97EE2" w14:textId="6A42CF47" w:rsidR="00133017" w:rsidRPr="00362D0D" w:rsidRDefault="00133017" w:rsidP="00362D0D">
      <w:pPr>
        <w:spacing w:after="0" w:line="240" w:lineRule="auto"/>
        <w:jc w:val="both"/>
        <w:rPr>
          <w:rFonts w:ascii="Arial" w:hAnsi="Arial" w:cs="Arial"/>
        </w:rPr>
      </w:pPr>
      <w:r w:rsidRPr="00362D0D">
        <w:rPr>
          <w:rFonts w:ascii="Arial" w:hAnsi="Arial" w:cs="Arial"/>
        </w:rPr>
        <w:t xml:space="preserve"> </w:t>
      </w:r>
    </w:p>
    <w:p w14:paraId="144376B3" w14:textId="54BE6B5F" w:rsidR="00133017" w:rsidRDefault="00133017" w:rsidP="00362D0D">
      <w:pPr>
        <w:spacing w:after="0" w:line="240" w:lineRule="auto"/>
        <w:jc w:val="both"/>
        <w:rPr>
          <w:rFonts w:ascii="Arial" w:hAnsi="Arial" w:cs="Arial"/>
        </w:rPr>
      </w:pPr>
      <w:r w:rsidRPr="00362D0D">
        <w:rPr>
          <w:rFonts w:ascii="Arial" w:hAnsi="Arial" w:cs="Arial"/>
        </w:rPr>
        <w:t xml:space="preserve">If </w:t>
      </w:r>
      <w:r w:rsidR="00606BAD" w:rsidRPr="00362D0D">
        <w:rPr>
          <w:rFonts w:ascii="Arial" w:hAnsi="Arial" w:cs="Arial"/>
        </w:rPr>
        <w:t xml:space="preserve">the </w:t>
      </w:r>
      <w:r w:rsidR="00F07151" w:rsidRPr="00F07151">
        <w:rPr>
          <w:rFonts w:ascii="Arial" w:hAnsi="Arial" w:cs="Arial"/>
        </w:rPr>
        <w:t xml:space="preserve">complainant </w:t>
      </w:r>
      <w:r w:rsidR="00606BAD" w:rsidRPr="00362D0D">
        <w:rPr>
          <w:rFonts w:ascii="Arial" w:hAnsi="Arial" w:cs="Arial"/>
        </w:rPr>
        <w:t xml:space="preserve">is </w:t>
      </w:r>
      <w:r w:rsidRPr="00362D0D">
        <w:rPr>
          <w:rFonts w:ascii="Arial" w:hAnsi="Arial" w:cs="Arial"/>
        </w:rPr>
        <w:t xml:space="preserve">unhappy with the outcome  </w:t>
      </w:r>
      <w:r w:rsidR="00606BAD" w:rsidRPr="00362D0D">
        <w:rPr>
          <w:rFonts w:ascii="Arial" w:hAnsi="Arial" w:cs="Arial"/>
        </w:rPr>
        <w:t xml:space="preserve">they should write to the Chairperson of the Board of Governors </w:t>
      </w:r>
      <w:r w:rsidR="00606BAD" w:rsidRPr="00362D0D">
        <w:rPr>
          <w:rFonts w:ascii="Arial" w:hAnsi="Arial" w:cs="Arial"/>
          <w:i/>
        </w:rPr>
        <w:t xml:space="preserve">(care of the school and marked ‘private and confidential’) </w:t>
      </w:r>
      <w:r w:rsidR="00606BAD" w:rsidRPr="00F07151">
        <w:rPr>
          <w:rFonts w:ascii="Arial" w:hAnsi="Arial" w:cs="Arial"/>
          <w:iCs/>
        </w:rPr>
        <w:t>in order to appeal</w:t>
      </w:r>
      <w:r w:rsidR="00362D0D" w:rsidRPr="00F07151">
        <w:rPr>
          <w:rFonts w:ascii="Arial" w:hAnsi="Arial" w:cs="Arial"/>
          <w:iCs/>
        </w:rPr>
        <w:t xml:space="preserve"> the initial </w:t>
      </w:r>
      <w:r w:rsidR="004C5469" w:rsidRPr="00F07151">
        <w:rPr>
          <w:rFonts w:ascii="Arial" w:hAnsi="Arial" w:cs="Arial"/>
          <w:iCs/>
        </w:rPr>
        <w:t>decision</w:t>
      </w:r>
      <w:r w:rsidR="00362D0D" w:rsidRPr="00F07151">
        <w:rPr>
          <w:rFonts w:ascii="Arial" w:hAnsi="Arial" w:cs="Arial"/>
          <w:iCs/>
        </w:rPr>
        <w:t>.</w:t>
      </w:r>
      <w:r w:rsidR="00606BAD" w:rsidRPr="00362D0D">
        <w:rPr>
          <w:rFonts w:ascii="Arial" w:hAnsi="Arial" w:cs="Arial"/>
          <w:bCs/>
          <w:lang w:eastAsia="en-GB"/>
        </w:rPr>
        <w:t xml:space="preserve"> </w:t>
      </w:r>
      <w:r w:rsidR="00606BAD" w:rsidRPr="00362D0D">
        <w:rPr>
          <w:rFonts w:ascii="Arial" w:hAnsi="Arial" w:cs="Arial"/>
        </w:rPr>
        <w:t xml:space="preserve">The Chairperson will convene a committee to review the complaint.  </w:t>
      </w:r>
      <w:r w:rsidR="00362D0D" w:rsidRPr="00362D0D">
        <w:rPr>
          <w:rFonts w:ascii="Arial" w:hAnsi="Arial" w:cs="Arial"/>
        </w:rPr>
        <w:t xml:space="preserve">The </w:t>
      </w:r>
      <w:r w:rsidR="00893814" w:rsidRPr="00F07151">
        <w:rPr>
          <w:rFonts w:ascii="Arial" w:hAnsi="Arial" w:cs="Arial"/>
        </w:rPr>
        <w:t xml:space="preserve">complainant </w:t>
      </w:r>
      <w:r w:rsidR="00362D0D" w:rsidRPr="00362D0D">
        <w:rPr>
          <w:rFonts w:ascii="Arial" w:hAnsi="Arial" w:cs="Arial"/>
        </w:rPr>
        <w:t xml:space="preserve">must </w:t>
      </w:r>
      <w:r w:rsidR="00606BAD" w:rsidRPr="00362D0D">
        <w:rPr>
          <w:rFonts w:ascii="Arial" w:hAnsi="Arial" w:cs="Arial"/>
        </w:rPr>
        <w:t xml:space="preserve"> provide as much detail as possible as indicated above.</w:t>
      </w:r>
      <w:r w:rsidR="00362D0D" w:rsidRPr="00362D0D">
        <w:rPr>
          <w:rFonts w:ascii="Arial" w:hAnsi="Arial" w:cs="Arial"/>
        </w:rPr>
        <w:t xml:space="preserve"> </w:t>
      </w:r>
      <w:r w:rsidRPr="00362D0D">
        <w:rPr>
          <w:rFonts w:ascii="Arial" w:hAnsi="Arial" w:cs="Arial"/>
        </w:rPr>
        <w:t>The complaint will normally be acknowledged within 5 school working days and a final response normally made within 20 school working days from date of receipt of the complaint.  The response will be issued in writing by the Chairperson of the committee.</w:t>
      </w:r>
    </w:p>
    <w:p w14:paraId="14F11C8A" w14:textId="77777777" w:rsidR="00893814" w:rsidRPr="00362D0D" w:rsidRDefault="00893814" w:rsidP="00362D0D">
      <w:pPr>
        <w:spacing w:after="0" w:line="240" w:lineRule="auto"/>
        <w:jc w:val="both"/>
        <w:rPr>
          <w:rFonts w:ascii="Arial" w:hAnsi="Arial" w:cs="Arial"/>
        </w:rPr>
      </w:pPr>
    </w:p>
    <w:p w14:paraId="17E56BD0" w14:textId="52A539C2" w:rsidR="00133017" w:rsidRPr="00F07151" w:rsidRDefault="00F07151" w:rsidP="00362D0D">
      <w:pPr>
        <w:spacing w:after="0" w:line="240" w:lineRule="auto"/>
        <w:jc w:val="both"/>
        <w:rPr>
          <w:rFonts w:ascii="Arial" w:hAnsi="Arial" w:cs="Arial"/>
        </w:rPr>
      </w:pPr>
      <w:r w:rsidRPr="00893814">
        <w:rPr>
          <w:rFonts w:ascii="Arial" w:hAnsi="Arial" w:cs="Arial"/>
        </w:rPr>
        <w:t>Acceptable grounds for appeal Appeals will only be deemed valid when based on procedural irregularity in terms of the conduct of the examination or determination of the result. Appeals will be deemed invalid and not upheld if based purely on the following</w:t>
      </w:r>
      <w:r w:rsidR="00893814">
        <w:rPr>
          <w:rFonts w:ascii="Arial" w:hAnsi="Arial" w:cs="Arial"/>
        </w:rPr>
        <w:t xml:space="preserve"> </w:t>
      </w:r>
      <w:r w:rsidRPr="00893814">
        <w:rPr>
          <w:rFonts w:ascii="Arial" w:hAnsi="Arial" w:cs="Arial"/>
        </w:rPr>
        <w:t>candidate’s lack of awareness of exam regulations and procedures</w:t>
      </w:r>
      <w:r w:rsidR="00893814">
        <w:rPr>
          <w:rFonts w:ascii="Arial" w:hAnsi="Arial" w:cs="Arial"/>
        </w:rPr>
        <w:t xml:space="preserve">. </w:t>
      </w:r>
      <w:r w:rsidR="006C7FC4" w:rsidRPr="00F07151">
        <w:rPr>
          <w:rFonts w:ascii="Arial" w:hAnsi="Arial" w:cs="Arial"/>
        </w:rPr>
        <w:t xml:space="preserve">A candidate (or his/her/parent/carer) may make a complaint about examinations </w:t>
      </w:r>
      <w:r>
        <w:rPr>
          <w:rFonts w:ascii="Arial" w:hAnsi="Arial" w:cs="Arial"/>
        </w:rPr>
        <w:t xml:space="preserve">on </w:t>
      </w:r>
      <w:r w:rsidR="006C7FC4" w:rsidRPr="00F07151">
        <w:rPr>
          <w:rFonts w:ascii="Arial" w:hAnsi="Arial" w:cs="Arial"/>
        </w:rPr>
        <w:t>the grounds below:</w:t>
      </w:r>
    </w:p>
    <w:p w14:paraId="6C32DDA0" w14:textId="77777777" w:rsidR="006C7FC4" w:rsidRPr="00362D0D" w:rsidRDefault="006C7FC4" w:rsidP="00362D0D">
      <w:pPr>
        <w:spacing w:after="0" w:line="240" w:lineRule="auto"/>
        <w:jc w:val="both"/>
        <w:rPr>
          <w:rFonts w:ascii="Arial" w:hAnsi="Arial" w:cs="Arial"/>
        </w:rPr>
      </w:pPr>
    </w:p>
    <w:p w14:paraId="11828B93" w14:textId="037D79B6" w:rsidR="00080BBE" w:rsidRPr="00F07151" w:rsidRDefault="00F07151" w:rsidP="00362D0D">
      <w:pPr>
        <w:pStyle w:val="Default"/>
        <w:numPr>
          <w:ilvl w:val="0"/>
          <w:numId w:val="8"/>
        </w:numPr>
        <w:rPr>
          <w:sz w:val="22"/>
          <w:szCs w:val="22"/>
        </w:rPr>
      </w:pPr>
      <w:r w:rsidRPr="00F07151">
        <w:rPr>
          <w:sz w:val="22"/>
          <w:szCs w:val="22"/>
        </w:rPr>
        <w:t xml:space="preserve">The taking of an assessment, which contributes to the final grade of the qualification not </w:t>
      </w:r>
      <w:r w:rsidR="00080BBE" w:rsidRPr="00F07151">
        <w:rPr>
          <w:sz w:val="22"/>
          <w:szCs w:val="22"/>
        </w:rPr>
        <w:t xml:space="preserve">conducted according to the JCQ/awarding body instructions </w:t>
      </w:r>
    </w:p>
    <w:p w14:paraId="5A72A6AE" w14:textId="30824AF6" w:rsidR="00080BBE" w:rsidRPr="00F07151" w:rsidRDefault="00080BBE" w:rsidP="00362D0D">
      <w:pPr>
        <w:pStyle w:val="Default"/>
        <w:numPr>
          <w:ilvl w:val="0"/>
          <w:numId w:val="8"/>
        </w:numPr>
        <w:rPr>
          <w:sz w:val="22"/>
          <w:szCs w:val="22"/>
        </w:rPr>
      </w:pPr>
      <w:r w:rsidRPr="00F07151">
        <w:rPr>
          <w:sz w:val="22"/>
          <w:szCs w:val="22"/>
        </w:rPr>
        <w:t xml:space="preserve">The marking of an internal assessment, which contributes to the final grade of the qualification, not undertaken according to the requirements of the awarding body (complainant should refer to the centre’s internal appeals procedure) </w:t>
      </w:r>
    </w:p>
    <w:p w14:paraId="7B714C21" w14:textId="28E59420" w:rsidR="00080BBE" w:rsidRPr="00F07151" w:rsidRDefault="00080BBE" w:rsidP="00362D0D">
      <w:pPr>
        <w:pStyle w:val="Default"/>
        <w:numPr>
          <w:ilvl w:val="0"/>
          <w:numId w:val="8"/>
        </w:numPr>
        <w:rPr>
          <w:sz w:val="22"/>
          <w:szCs w:val="22"/>
        </w:rPr>
      </w:pPr>
      <w:r w:rsidRPr="00F07151">
        <w:rPr>
          <w:sz w:val="22"/>
          <w:szCs w:val="22"/>
        </w:rPr>
        <w:t xml:space="preserve">Centre fails to adhere to its internal appeals procedure </w:t>
      </w:r>
    </w:p>
    <w:p w14:paraId="731C8666" w14:textId="77777777" w:rsidR="00080BBE" w:rsidRPr="00F07151" w:rsidRDefault="00080BBE" w:rsidP="00362D0D">
      <w:pPr>
        <w:pStyle w:val="Default"/>
        <w:numPr>
          <w:ilvl w:val="0"/>
          <w:numId w:val="8"/>
        </w:numPr>
        <w:rPr>
          <w:sz w:val="22"/>
          <w:szCs w:val="22"/>
        </w:rPr>
      </w:pPr>
      <w:r w:rsidRPr="00F07151">
        <w:rPr>
          <w:sz w:val="22"/>
          <w:szCs w:val="22"/>
        </w:rPr>
        <w:t xml:space="preserve">Exam information not appropriately adapted for a disabled candidate to access it </w:t>
      </w:r>
    </w:p>
    <w:p w14:paraId="7774E3A8" w14:textId="77777777" w:rsidR="00080BBE" w:rsidRPr="00F07151" w:rsidRDefault="00080BBE" w:rsidP="00362D0D">
      <w:pPr>
        <w:pStyle w:val="Default"/>
        <w:numPr>
          <w:ilvl w:val="0"/>
          <w:numId w:val="8"/>
        </w:numPr>
        <w:rPr>
          <w:sz w:val="22"/>
          <w:szCs w:val="22"/>
        </w:rPr>
      </w:pPr>
      <w:r w:rsidRPr="00F07151">
        <w:rPr>
          <w:sz w:val="22"/>
          <w:szCs w:val="22"/>
        </w:rPr>
        <w:t>Adapted equipment put in place failed during exam/assessment</w:t>
      </w:r>
    </w:p>
    <w:p w14:paraId="60BDD24D" w14:textId="78C9F97B" w:rsidR="00080BBE" w:rsidRPr="00F07151" w:rsidRDefault="00080BBE" w:rsidP="00362D0D">
      <w:pPr>
        <w:pStyle w:val="Default"/>
        <w:numPr>
          <w:ilvl w:val="0"/>
          <w:numId w:val="8"/>
        </w:numPr>
        <w:rPr>
          <w:sz w:val="22"/>
          <w:szCs w:val="22"/>
        </w:rPr>
      </w:pPr>
      <w:r w:rsidRPr="00F07151">
        <w:rPr>
          <w:sz w:val="22"/>
          <w:szCs w:val="22"/>
        </w:rPr>
        <w:t xml:space="preserve">Approved access arrangement(s) not put in place at the time of an exam/assessment </w:t>
      </w:r>
    </w:p>
    <w:p w14:paraId="1B0AFD27" w14:textId="77777777" w:rsidR="00080BBE" w:rsidRPr="00F07151" w:rsidRDefault="00080BBE" w:rsidP="00362D0D">
      <w:pPr>
        <w:pStyle w:val="Default"/>
        <w:numPr>
          <w:ilvl w:val="0"/>
          <w:numId w:val="8"/>
        </w:numPr>
        <w:rPr>
          <w:sz w:val="22"/>
          <w:szCs w:val="22"/>
        </w:rPr>
      </w:pPr>
      <w:r w:rsidRPr="00F07151">
        <w:rPr>
          <w:sz w:val="22"/>
          <w:szCs w:val="22"/>
        </w:rPr>
        <w:t xml:space="preserve">Candidate not entered/entered late (incurring a late entry fee) for a required exam/assessment </w:t>
      </w:r>
    </w:p>
    <w:p w14:paraId="5A746339" w14:textId="0F9E8163" w:rsidR="00080BBE" w:rsidRPr="00F07151" w:rsidRDefault="00080BBE" w:rsidP="00362D0D">
      <w:pPr>
        <w:pStyle w:val="Default"/>
        <w:numPr>
          <w:ilvl w:val="0"/>
          <w:numId w:val="8"/>
        </w:numPr>
        <w:rPr>
          <w:sz w:val="22"/>
          <w:szCs w:val="22"/>
        </w:rPr>
      </w:pPr>
      <w:r w:rsidRPr="00F07151">
        <w:rPr>
          <w:sz w:val="22"/>
          <w:szCs w:val="22"/>
        </w:rPr>
        <w:t xml:space="preserve">Candidate entered for a wrong exam/assessment </w:t>
      </w:r>
    </w:p>
    <w:p w14:paraId="4098DA31" w14:textId="77777777" w:rsidR="00080BBE" w:rsidRPr="00F07151" w:rsidRDefault="00080BBE" w:rsidP="00362D0D">
      <w:pPr>
        <w:pStyle w:val="Default"/>
        <w:numPr>
          <w:ilvl w:val="0"/>
          <w:numId w:val="8"/>
        </w:numPr>
        <w:rPr>
          <w:sz w:val="22"/>
          <w:szCs w:val="22"/>
        </w:rPr>
      </w:pPr>
      <w:r w:rsidRPr="00F07151">
        <w:rPr>
          <w:sz w:val="22"/>
          <w:szCs w:val="22"/>
        </w:rPr>
        <w:t>Inadequate invigilation in exam room</w:t>
      </w:r>
    </w:p>
    <w:p w14:paraId="6F5D0E56" w14:textId="3FCD433A" w:rsidR="00080BBE" w:rsidRPr="00F07151" w:rsidRDefault="00080BBE" w:rsidP="00362D0D">
      <w:pPr>
        <w:pStyle w:val="Default"/>
        <w:numPr>
          <w:ilvl w:val="0"/>
          <w:numId w:val="8"/>
        </w:numPr>
        <w:rPr>
          <w:sz w:val="22"/>
          <w:szCs w:val="22"/>
        </w:rPr>
      </w:pPr>
      <w:r w:rsidRPr="00F07151">
        <w:rPr>
          <w:sz w:val="22"/>
          <w:szCs w:val="22"/>
        </w:rPr>
        <w:t xml:space="preserve">Failure to conduct exam according to the regulations </w:t>
      </w:r>
    </w:p>
    <w:p w14:paraId="345F80AA" w14:textId="77777777" w:rsidR="00080BBE" w:rsidRPr="00F07151" w:rsidRDefault="00080BBE" w:rsidP="00362D0D">
      <w:pPr>
        <w:pStyle w:val="Default"/>
        <w:numPr>
          <w:ilvl w:val="0"/>
          <w:numId w:val="8"/>
        </w:numPr>
        <w:rPr>
          <w:sz w:val="22"/>
          <w:szCs w:val="22"/>
        </w:rPr>
      </w:pPr>
      <w:r w:rsidRPr="00F07151">
        <w:rPr>
          <w:sz w:val="22"/>
          <w:szCs w:val="22"/>
        </w:rPr>
        <w:t xml:space="preserve">Alleged, suspected or actual malpractice incident not investigated/reported </w:t>
      </w:r>
    </w:p>
    <w:p w14:paraId="63A64960" w14:textId="77777777" w:rsidR="00080BBE" w:rsidRPr="00362D0D" w:rsidRDefault="00080BBE" w:rsidP="00362D0D">
      <w:pPr>
        <w:pStyle w:val="Default"/>
        <w:numPr>
          <w:ilvl w:val="0"/>
          <w:numId w:val="8"/>
        </w:numPr>
        <w:rPr>
          <w:sz w:val="22"/>
          <w:szCs w:val="22"/>
        </w:rPr>
      </w:pPr>
      <w:r w:rsidRPr="00362D0D">
        <w:rPr>
          <w:sz w:val="22"/>
          <w:szCs w:val="22"/>
        </w:rPr>
        <w:t xml:space="preserve">Candidate not having access to an appropriate member of staff after the publication of results to discuss/make decision on the submission of an enquiry </w:t>
      </w:r>
    </w:p>
    <w:p w14:paraId="744C0F80" w14:textId="560C6B17" w:rsidR="00080BBE" w:rsidRPr="00362D0D" w:rsidRDefault="00080BBE" w:rsidP="00362D0D">
      <w:pPr>
        <w:pStyle w:val="Default"/>
        <w:numPr>
          <w:ilvl w:val="0"/>
          <w:numId w:val="8"/>
        </w:numPr>
        <w:rPr>
          <w:sz w:val="22"/>
          <w:szCs w:val="22"/>
        </w:rPr>
      </w:pPr>
      <w:r w:rsidRPr="00362D0D">
        <w:rPr>
          <w:sz w:val="22"/>
          <w:szCs w:val="22"/>
        </w:rPr>
        <w:t xml:space="preserve">Candidate (or parent/carer) unhappy with a result (complainant to refer via exams officer to awarding body post-results services) or with a centre decision not to support a clerical check, a review of marking, a review of moderation or an appeal (complainant to refer to the centre’s internal appeals procedure) </w:t>
      </w:r>
    </w:p>
    <w:p w14:paraId="56D18661" w14:textId="77777777" w:rsidR="00080BBE" w:rsidRPr="00362D0D" w:rsidRDefault="00080BBE" w:rsidP="00362D0D">
      <w:pPr>
        <w:pStyle w:val="Default"/>
        <w:rPr>
          <w:sz w:val="22"/>
          <w:szCs w:val="22"/>
        </w:rPr>
      </w:pPr>
    </w:p>
    <w:p w14:paraId="4BDAC00B" w14:textId="2924380E" w:rsidR="00080BBE" w:rsidRPr="00362D0D" w:rsidRDefault="00080BBE" w:rsidP="00362D0D">
      <w:pPr>
        <w:pStyle w:val="Default"/>
        <w:rPr>
          <w:color w:val="auto"/>
          <w:sz w:val="22"/>
          <w:szCs w:val="22"/>
        </w:rPr>
      </w:pPr>
      <w:r w:rsidRPr="00362D0D">
        <w:rPr>
          <w:color w:val="auto"/>
          <w:sz w:val="22"/>
          <w:szCs w:val="22"/>
        </w:rPr>
        <w:t>Further information can be obtained from:</w:t>
      </w:r>
    </w:p>
    <w:p w14:paraId="36A5EB8A" w14:textId="77777777" w:rsidR="000136B6" w:rsidRPr="00362D0D" w:rsidRDefault="000136B6" w:rsidP="00362D0D">
      <w:pPr>
        <w:pStyle w:val="Default"/>
        <w:rPr>
          <w:color w:val="auto"/>
          <w:sz w:val="22"/>
          <w:szCs w:val="22"/>
        </w:rPr>
      </w:pPr>
    </w:p>
    <w:p w14:paraId="433C7906" w14:textId="463D4FBC" w:rsidR="000136B6" w:rsidRPr="00362D0D" w:rsidRDefault="00062E67" w:rsidP="00362D0D">
      <w:pPr>
        <w:pStyle w:val="Default"/>
        <w:numPr>
          <w:ilvl w:val="0"/>
          <w:numId w:val="19"/>
        </w:numPr>
        <w:rPr>
          <w:color w:val="auto"/>
          <w:sz w:val="22"/>
          <w:szCs w:val="22"/>
        </w:rPr>
      </w:pPr>
      <w:hyperlink r:id="rId11" w:history="1">
        <w:r w:rsidR="000136B6" w:rsidRPr="00362D0D">
          <w:rPr>
            <w:rStyle w:val="Hyperlink"/>
            <w:sz w:val="22"/>
            <w:szCs w:val="22"/>
          </w:rPr>
          <w:t>http://www.jcq.org.uk/exams-office/controlled-assessments</w:t>
        </w:r>
      </w:hyperlink>
    </w:p>
    <w:p w14:paraId="4D396444" w14:textId="7F122878" w:rsidR="000136B6" w:rsidRPr="00362D0D" w:rsidRDefault="00062E67" w:rsidP="00362D0D">
      <w:pPr>
        <w:pStyle w:val="Default"/>
        <w:numPr>
          <w:ilvl w:val="0"/>
          <w:numId w:val="19"/>
        </w:numPr>
        <w:rPr>
          <w:color w:val="auto"/>
          <w:sz w:val="22"/>
          <w:szCs w:val="22"/>
        </w:rPr>
      </w:pPr>
      <w:hyperlink r:id="rId12" w:history="1">
        <w:r w:rsidR="000136B6" w:rsidRPr="00362D0D">
          <w:rPr>
            <w:rStyle w:val="Hyperlink"/>
            <w:sz w:val="22"/>
            <w:szCs w:val="22"/>
          </w:rPr>
          <w:t>http://www.jcq.org.uk/exams-office/coursework</w:t>
        </w:r>
      </w:hyperlink>
    </w:p>
    <w:p w14:paraId="02293B54" w14:textId="21300C53" w:rsidR="00080BBE" w:rsidRPr="00362D0D" w:rsidRDefault="00062E67" w:rsidP="00362D0D">
      <w:pPr>
        <w:pStyle w:val="Default"/>
        <w:numPr>
          <w:ilvl w:val="0"/>
          <w:numId w:val="19"/>
        </w:numPr>
        <w:rPr>
          <w:color w:val="auto"/>
          <w:sz w:val="22"/>
          <w:szCs w:val="22"/>
        </w:rPr>
      </w:pPr>
      <w:hyperlink r:id="rId13" w:history="1">
        <w:r w:rsidR="000136B6" w:rsidRPr="00362D0D">
          <w:rPr>
            <w:rStyle w:val="Hyperlink"/>
            <w:sz w:val="22"/>
            <w:szCs w:val="22"/>
          </w:rPr>
          <w:t>https://www.gov.uk/appeal-exam-result</w:t>
        </w:r>
      </w:hyperlink>
    </w:p>
    <w:p w14:paraId="481FCE96" w14:textId="4F6CC310" w:rsidR="000136B6" w:rsidRPr="00362D0D" w:rsidRDefault="00062E67" w:rsidP="00362D0D">
      <w:pPr>
        <w:pStyle w:val="Default"/>
        <w:numPr>
          <w:ilvl w:val="0"/>
          <w:numId w:val="19"/>
        </w:numPr>
        <w:rPr>
          <w:color w:val="auto"/>
          <w:sz w:val="22"/>
          <w:szCs w:val="22"/>
        </w:rPr>
      </w:pPr>
      <w:hyperlink r:id="rId14" w:history="1">
        <w:r w:rsidR="000136B6" w:rsidRPr="00362D0D">
          <w:rPr>
            <w:rStyle w:val="Hyperlink"/>
            <w:sz w:val="22"/>
            <w:szCs w:val="22"/>
          </w:rPr>
          <w:t>http://www.jcq.org.uk/examination-system/the-appeals-process</w:t>
        </w:r>
      </w:hyperlink>
    </w:p>
    <w:p w14:paraId="02D5B21A" w14:textId="53C85989" w:rsidR="00080BBE" w:rsidRPr="00362D0D" w:rsidRDefault="00080BBE" w:rsidP="00362D0D">
      <w:pPr>
        <w:pStyle w:val="Default"/>
        <w:rPr>
          <w:color w:val="auto"/>
          <w:sz w:val="22"/>
          <w:szCs w:val="22"/>
        </w:rPr>
      </w:pPr>
      <w:r w:rsidRPr="00362D0D">
        <w:rPr>
          <w:color w:val="auto"/>
          <w:sz w:val="22"/>
          <w:szCs w:val="22"/>
        </w:rPr>
        <w:t xml:space="preserve"> </w:t>
      </w:r>
    </w:p>
    <w:p w14:paraId="335E898E" w14:textId="77777777" w:rsidR="009467BC" w:rsidRPr="00362D0D" w:rsidRDefault="00080BBE" w:rsidP="00362D0D">
      <w:pPr>
        <w:pStyle w:val="Default"/>
        <w:rPr>
          <w:b/>
          <w:bCs/>
          <w:color w:val="auto"/>
          <w:sz w:val="22"/>
          <w:szCs w:val="22"/>
        </w:rPr>
      </w:pPr>
      <w:r w:rsidRPr="00362D0D">
        <w:rPr>
          <w:b/>
          <w:bCs/>
          <w:color w:val="auto"/>
          <w:sz w:val="22"/>
          <w:szCs w:val="22"/>
        </w:rPr>
        <w:t xml:space="preserve">Enquiries or appeals for vocational qualifications </w:t>
      </w:r>
    </w:p>
    <w:p w14:paraId="5D7A4445" w14:textId="77777777" w:rsidR="009467BC" w:rsidRPr="00362D0D" w:rsidRDefault="009467BC" w:rsidP="00362D0D">
      <w:pPr>
        <w:pStyle w:val="Default"/>
        <w:rPr>
          <w:b/>
          <w:bCs/>
          <w:color w:val="auto"/>
          <w:sz w:val="22"/>
          <w:szCs w:val="22"/>
        </w:rPr>
      </w:pPr>
    </w:p>
    <w:p w14:paraId="768178E2" w14:textId="0D4AE4B8" w:rsidR="009467BC" w:rsidRPr="00362D0D" w:rsidRDefault="009467BC" w:rsidP="00362D0D">
      <w:pPr>
        <w:pStyle w:val="Default"/>
        <w:rPr>
          <w:color w:val="auto"/>
          <w:sz w:val="22"/>
          <w:szCs w:val="22"/>
        </w:rPr>
      </w:pPr>
      <w:r w:rsidRPr="00362D0D">
        <w:rPr>
          <w:color w:val="auto"/>
          <w:sz w:val="22"/>
          <w:szCs w:val="22"/>
        </w:rPr>
        <w:t xml:space="preserve">As part of BTEC quality assurance procedure and the equality of opportunity of each learner, have the right to appeal against the grade </w:t>
      </w:r>
      <w:r w:rsidR="000136B6" w:rsidRPr="00362D0D">
        <w:rPr>
          <w:color w:val="auto"/>
          <w:sz w:val="22"/>
          <w:szCs w:val="22"/>
        </w:rPr>
        <w:t>they</w:t>
      </w:r>
      <w:r w:rsidRPr="00362D0D">
        <w:rPr>
          <w:color w:val="auto"/>
          <w:sz w:val="22"/>
          <w:szCs w:val="22"/>
        </w:rPr>
        <w:t xml:space="preserve"> have been awarded for submitted BTEC coursework. However, before an appeal is made the student should raise this informally with the assessor (the teacher who marked the work) for consideration. </w:t>
      </w:r>
    </w:p>
    <w:p w14:paraId="4C2AEBD6" w14:textId="77777777" w:rsidR="000136B6" w:rsidRPr="00362D0D" w:rsidRDefault="000136B6" w:rsidP="00362D0D">
      <w:pPr>
        <w:pStyle w:val="Default"/>
        <w:rPr>
          <w:color w:val="auto"/>
          <w:sz w:val="22"/>
          <w:szCs w:val="22"/>
        </w:rPr>
      </w:pPr>
    </w:p>
    <w:p w14:paraId="25569832" w14:textId="25A64CD5" w:rsidR="009467BC" w:rsidRPr="00362D0D" w:rsidRDefault="009467BC" w:rsidP="00362D0D">
      <w:pPr>
        <w:pStyle w:val="Default"/>
        <w:rPr>
          <w:color w:val="auto"/>
          <w:sz w:val="22"/>
          <w:szCs w:val="22"/>
        </w:rPr>
      </w:pPr>
      <w:r w:rsidRPr="00362D0D">
        <w:rPr>
          <w:color w:val="auto"/>
          <w:sz w:val="22"/>
          <w:szCs w:val="22"/>
        </w:rPr>
        <w:lastRenderedPageBreak/>
        <w:t xml:space="preserve">An enquiry or appeal concerning an individual learner must be made through the learner’s centre and submitted by the Vocational Coordinator. The Vocational Coordinator is required to submit the appeal on the behalf of the learner to Pearson. </w:t>
      </w:r>
    </w:p>
    <w:p w14:paraId="06198B10" w14:textId="77777777" w:rsidR="009467BC" w:rsidRPr="00362D0D" w:rsidRDefault="009467BC" w:rsidP="00362D0D">
      <w:pPr>
        <w:pStyle w:val="Default"/>
        <w:rPr>
          <w:color w:val="auto"/>
          <w:sz w:val="22"/>
          <w:szCs w:val="22"/>
        </w:rPr>
      </w:pPr>
    </w:p>
    <w:p w14:paraId="1CF89093" w14:textId="07880125" w:rsidR="009467BC" w:rsidRPr="00362D0D" w:rsidRDefault="009467BC" w:rsidP="00362D0D">
      <w:pPr>
        <w:pStyle w:val="Default"/>
        <w:rPr>
          <w:color w:val="auto"/>
          <w:sz w:val="22"/>
          <w:szCs w:val="22"/>
        </w:rPr>
      </w:pPr>
      <w:r w:rsidRPr="00362D0D">
        <w:rPr>
          <w:color w:val="auto"/>
          <w:sz w:val="22"/>
          <w:szCs w:val="22"/>
        </w:rPr>
        <w:t xml:space="preserve">Pearson expects most enquiries or appeals from individual learners to be resolved within the </w:t>
      </w:r>
      <w:r w:rsidR="00A42929" w:rsidRPr="00362D0D">
        <w:rPr>
          <w:color w:val="auto"/>
          <w:sz w:val="22"/>
          <w:szCs w:val="22"/>
        </w:rPr>
        <w:t>centre and</w:t>
      </w:r>
      <w:r w:rsidRPr="00362D0D">
        <w:rPr>
          <w:color w:val="auto"/>
          <w:sz w:val="22"/>
          <w:szCs w:val="22"/>
        </w:rPr>
        <w:t xml:space="preserve"> will only consider an individual learner’s enquiry or appeal after the centre’s internal enquiries or appeals procedures have been fully utilised. </w:t>
      </w:r>
    </w:p>
    <w:p w14:paraId="24E08596" w14:textId="77777777" w:rsidR="000136B6" w:rsidRPr="00362D0D" w:rsidRDefault="000136B6" w:rsidP="00362D0D">
      <w:pPr>
        <w:pStyle w:val="Default"/>
        <w:rPr>
          <w:color w:val="auto"/>
          <w:sz w:val="22"/>
          <w:szCs w:val="22"/>
        </w:rPr>
      </w:pPr>
    </w:p>
    <w:p w14:paraId="21154249" w14:textId="1354DE42" w:rsidR="000136B6" w:rsidRPr="00362D0D" w:rsidRDefault="000136B6" w:rsidP="00362D0D">
      <w:pPr>
        <w:pStyle w:val="Default"/>
        <w:rPr>
          <w:color w:val="auto"/>
          <w:sz w:val="22"/>
          <w:szCs w:val="22"/>
        </w:rPr>
      </w:pPr>
      <w:r w:rsidRPr="00362D0D">
        <w:rPr>
          <w:color w:val="auto"/>
          <w:sz w:val="22"/>
          <w:szCs w:val="22"/>
        </w:rPr>
        <w:t xml:space="preserve">Further details – see BTEC policies &amp; </w:t>
      </w:r>
      <w:r w:rsidR="00D863D1" w:rsidRPr="00362D0D">
        <w:rPr>
          <w:color w:val="auto"/>
          <w:sz w:val="22"/>
          <w:szCs w:val="22"/>
        </w:rPr>
        <w:t>procedures</w:t>
      </w:r>
      <w:r w:rsidRPr="00362D0D">
        <w:rPr>
          <w:color w:val="auto"/>
          <w:sz w:val="22"/>
          <w:szCs w:val="22"/>
        </w:rPr>
        <w:t xml:space="preserve"> &amp; BTEC student handbook</w:t>
      </w:r>
    </w:p>
    <w:p w14:paraId="06CF0DE1" w14:textId="77777777" w:rsidR="009467BC" w:rsidRPr="00362D0D" w:rsidRDefault="009467BC" w:rsidP="00362D0D">
      <w:pPr>
        <w:pStyle w:val="Default"/>
        <w:rPr>
          <w:color w:val="auto"/>
          <w:sz w:val="22"/>
          <w:szCs w:val="22"/>
        </w:rPr>
      </w:pPr>
    </w:p>
    <w:p w14:paraId="48AF874C" w14:textId="2152F944" w:rsidR="00A729D3" w:rsidRPr="00362D0D" w:rsidRDefault="00080BBE" w:rsidP="00362D0D">
      <w:pPr>
        <w:pStyle w:val="Default"/>
        <w:rPr>
          <w:color w:val="auto"/>
          <w:sz w:val="22"/>
          <w:szCs w:val="22"/>
        </w:rPr>
      </w:pPr>
      <w:r w:rsidRPr="00362D0D">
        <w:rPr>
          <w:b/>
          <w:bCs/>
          <w:color w:val="auto"/>
          <w:sz w:val="22"/>
          <w:szCs w:val="22"/>
        </w:rPr>
        <w:t>Appeals against Externally Assessed Marks (Enquiry about Results – EAR)</w:t>
      </w:r>
    </w:p>
    <w:p w14:paraId="6DDAD0EC" w14:textId="77777777" w:rsidR="00A729D3" w:rsidRPr="00362D0D" w:rsidRDefault="00A729D3" w:rsidP="00362D0D">
      <w:pPr>
        <w:pStyle w:val="Default"/>
        <w:rPr>
          <w:color w:val="auto"/>
          <w:sz w:val="22"/>
          <w:szCs w:val="22"/>
        </w:rPr>
      </w:pPr>
    </w:p>
    <w:p w14:paraId="38227D4E" w14:textId="77777777" w:rsidR="002458BA" w:rsidRPr="00362D0D" w:rsidRDefault="002458BA" w:rsidP="002458BA">
      <w:pPr>
        <w:pStyle w:val="Default"/>
        <w:rPr>
          <w:color w:val="auto"/>
          <w:sz w:val="22"/>
          <w:szCs w:val="22"/>
        </w:rPr>
      </w:pPr>
      <w:r w:rsidRPr="00362D0D">
        <w:rPr>
          <w:color w:val="auto"/>
          <w:sz w:val="22"/>
          <w:szCs w:val="22"/>
        </w:rPr>
        <w:t xml:space="preserve">Following the issue of results, the general qualification awarding bodies offer post results. Each Awarding Body publishes procedures for appeals against its decisions, details of which are available on their websites (under Post Results Services); full details of these services, internal deadlines for requesting a service and fees charged will also be provided by the exams officer. </w:t>
      </w:r>
    </w:p>
    <w:p w14:paraId="1E2DEC49" w14:textId="77777777" w:rsidR="002458BA" w:rsidRPr="002458BA" w:rsidRDefault="002458BA" w:rsidP="002458BA">
      <w:pPr>
        <w:pStyle w:val="Default"/>
        <w:rPr>
          <w:color w:val="auto"/>
          <w:sz w:val="22"/>
          <w:szCs w:val="22"/>
        </w:rPr>
      </w:pPr>
    </w:p>
    <w:p w14:paraId="62CE62EA" w14:textId="77777777" w:rsidR="002458BA" w:rsidRPr="002458BA" w:rsidRDefault="002458BA" w:rsidP="002458BA">
      <w:pPr>
        <w:pStyle w:val="Default"/>
        <w:rPr>
          <w:sz w:val="22"/>
          <w:szCs w:val="22"/>
        </w:rPr>
      </w:pPr>
      <w:r w:rsidRPr="002458BA">
        <w:rPr>
          <w:sz w:val="22"/>
          <w:szCs w:val="22"/>
        </w:rPr>
        <w:t xml:space="preserve">Where a concern is expressed that a particular result may not be accurate, the centre will look at the marks awarded for each component part of the qualification alongside any mark schemes, relevant result reports, grade boundary information etc. when made available by the awarding body to determine if the centre supports any concerns. </w:t>
      </w:r>
    </w:p>
    <w:p w14:paraId="22B5A644" w14:textId="77777777" w:rsidR="002458BA" w:rsidRPr="002458BA" w:rsidRDefault="002458BA" w:rsidP="002458BA">
      <w:pPr>
        <w:pStyle w:val="Default"/>
        <w:rPr>
          <w:sz w:val="22"/>
          <w:szCs w:val="22"/>
        </w:rPr>
      </w:pPr>
    </w:p>
    <w:p w14:paraId="2DB850D3" w14:textId="77777777" w:rsidR="002458BA" w:rsidRPr="002458BA" w:rsidRDefault="002458BA" w:rsidP="002458BA">
      <w:pPr>
        <w:pStyle w:val="Default"/>
        <w:rPr>
          <w:color w:val="auto"/>
          <w:sz w:val="22"/>
          <w:szCs w:val="22"/>
        </w:rPr>
      </w:pPr>
      <w:r w:rsidRPr="002458BA">
        <w:rPr>
          <w:color w:val="auto"/>
          <w:sz w:val="22"/>
          <w:szCs w:val="22"/>
        </w:rPr>
        <w:t xml:space="preserve">The service, enquiries about results (EARs), may be requested by centre staff or candidates (or their parents/carers) if there are reasonable grounds for believing there has been an error in marking.  Where a student is unhappy with the mark/grade awarded for a particular examination unit a clerical check or re-mark may be requested from the awarding body via the Examination Officer. The decision as to whether to support such an enquiry will be made on the basis of several factors, including knowledge of the exam system and professional judgement. The students will be required to acknowledge that their marks and subject grades may be confirmed, raised or lowered following a review of marking. </w:t>
      </w:r>
    </w:p>
    <w:p w14:paraId="13018B7E" w14:textId="77777777" w:rsidR="002458BA" w:rsidRPr="002458BA" w:rsidRDefault="002458BA" w:rsidP="002458BA">
      <w:pPr>
        <w:pStyle w:val="Default"/>
        <w:rPr>
          <w:color w:val="auto"/>
          <w:sz w:val="22"/>
          <w:szCs w:val="22"/>
        </w:rPr>
      </w:pPr>
    </w:p>
    <w:p w14:paraId="3D511646" w14:textId="7D556C16" w:rsidR="002458BA" w:rsidRPr="002458BA" w:rsidRDefault="002458BA" w:rsidP="002458BA">
      <w:pPr>
        <w:pStyle w:val="Default"/>
        <w:rPr>
          <w:color w:val="auto"/>
          <w:sz w:val="22"/>
          <w:szCs w:val="22"/>
        </w:rPr>
      </w:pPr>
      <w:r w:rsidRPr="002458BA">
        <w:rPr>
          <w:color w:val="auto"/>
          <w:sz w:val="22"/>
          <w:szCs w:val="22"/>
        </w:rPr>
        <w:t xml:space="preserve">Awarding bodies will only accept applications for reviews of marking from centres and not from candidates or their parents, therefore appropriate staff are accessible to candidates immediately after the publication of results so that results may be discussed and decisions made on the submission of enquiries. </w:t>
      </w:r>
      <w:r w:rsidRPr="002458BA">
        <w:rPr>
          <w:sz w:val="22"/>
          <w:szCs w:val="22"/>
        </w:rPr>
        <w:t>Written candidate consent (informed consent via candidate email is acceptable) is required in all cases before a request for a</w:t>
      </w:r>
      <w:r>
        <w:rPr>
          <w:sz w:val="22"/>
          <w:szCs w:val="22"/>
        </w:rPr>
        <w:t>n</w:t>
      </w:r>
      <w:r w:rsidRPr="002458BA">
        <w:rPr>
          <w:sz w:val="22"/>
          <w:szCs w:val="22"/>
        </w:rPr>
        <w:t xml:space="preserve"> EAR service 1 or 2  is submitted to the awarding body.</w:t>
      </w:r>
    </w:p>
    <w:p w14:paraId="6AD0496E" w14:textId="77777777" w:rsidR="002458BA" w:rsidRPr="00362D0D" w:rsidRDefault="002458BA" w:rsidP="002458BA">
      <w:pPr>
        <w:pStyle w:val="Default"/>
        <w:rPr>
          <w:color w:val="auto"/>
          <w:sz w:val="22"/>
          <w:szCs w:val="22"/>
        </w:rPr>
      </w:pPr>
    </w:p>
    <w:p w14:paraId="539DDE2C" w14:textId="77777777" w:rsidR="002458BA" w:rsidRPr="00362D0D" w:rsidRDefault="002458BA" w:rsidP="002458BA">
      <w:pPr>
        <w:pStyle w:val="Default"/>
        <w:rPr>
          <w:color w:val="auto"/>
          <w:sz w:val="22"/>
          <w:szCs w:val="22"/>
        </w:rPr>
      </w:pPr>
      <w:r w:rsidRPr="00362D0D">
        <w:rPr>
          <w:color w:val="auto"/>
          <w:sz w:val="22"/>
          <w:szCs w:val="22"/>
        </w:rPr>
        <w:t xml:space="preserve">The awarding bodies offer the following enquiry about results services: </w:t>
      </w:r>
    </w:p>
    <w:p w14:paraId="6A4E48DB" w14:textId="77777777" w:rsidR="00A729D3" w:rsidRPr="00362D0D" w:rsidRDefault="00A729D3" w:rsidP="00362D0D">
      <w:pPr>
        <w:pStyle w:val="Default"/>
        <w:rPr>
          <w:color w:val="auto"/>
          <w:sz w:val="22"/>
          <w:szCs w:val="22"/>
        </w:rPr>
      </w:pPr>
    </w:p>
    <w:p w14:paraId="7FDCF0C7" w14:textId="4FB3C20A" w:rsidR="00A729D3" w:rsidRPr="00362D0D" w:rsidRDefault="00A729D3" w:rsidP="00362D0D">
      <w:pPr>
        <w:pStyle w:val="Default"/>
        <w:rPr>
          <w:color w:val="auto"/>
          <w:sz w:val="22"/>
          <w:szCs w:val="22"/>
        </w:rPr>
      </w:pPr>
      <w:r w:rsidRPr="00362D0D">
        <w:rPr>
          <w:color w:val="auto"/>
          <w:sz w:val="22"/>
          <w:szCs w:val="22"/>
          <w:u w:val="single"/>
        </w:rPr>
        <w:t>Service 1 (Clerical re-check).</w:t>
      </w:r>
      <w:r w:rsidRPr="00362D0D">
        <w:rPr>
          <w:color w:val="auto"/>
          <w:sz w:val="22"/>
          <w:szCs w:val="22"/>
        </w:rPr>
        <w:t xml:space="preserve"> This service will include the following checks: </w:t>
      </w:r>
    </w:p>
    <w:p w14:paraId="4C4FEC75" w14:textId="77777777" w:rsidR="00A729D3" w:rsidRPr="00362D0D" w:rsidRDefault="00A729D3" w:rsidP="00362D0D">
      <w:pPr>
        <w:pStyle w:val="Default"/>
        <w:rPr>
          <w:color w:val="auto"/>
          <w:sz w:val="22"/>
          <w:szCs w:val="22"/>
        </w:rPr>
      </w:pPr>
    </w:p>
    <w:p w14:paraId="5A0DF023" w14:textId="77777777" w:rsidR="00A729D3" w:rsidRPr="00362D0D" w:rsidRDefault="00A729D3" w:rsidP="00362D0D">
      <w:pPr>
        <w:pStyle w:val="Default"/>
        <w:numPr>
          <w:ilvl w:val="0"/>
          <w:numId w:val="11"/>
        </w:numPr>
        <w:rPr>
          <w:color w:val="auto"/>
          <w:sz w:val="22"/>
          <w:szCs w:val="22"/>
        </w:rPr>
      </w:pPr>
      <w:r w:rsidRPr="00362D0D">
        <w:rPr>
          <w:color w:val="auto"/>
          <w:sz w:val="22"/>
          <w:szCs w:val="22"/>
        </w:rPr>
        <w:t xml:space="preserve">that all parts of the script have been marked; </w:t>
      </w:r>
    </w:p>
    <w:p w14:paraId="63C253A4" w14:textId="77777777" w:rsidR="00A729D3" w:rsidRPr="00362D0D" w:rsidRDefault="00A729D3" w:rsidP="00362D0D">
      <w:pPr>
        <w:pStyle w:val="Default"/>
        <w:numPr>
          <w:ilvl w:val="0"/>
          <w:numId w:val="11"/>
        </w:numPr>
        <w:rPr>
          <w:color w:val="auto"/>
          <w:sz w:val="22"/>
          <w:szCs w:val="22"/>
        </w:rPr>
      </w:pPr>
      <w:r w:rsidRPr="00362D0D">
        <w:rPr>
          <w:color w:val="auto"/>
          <w:sz w:val="22"/>
          <w:szCs w:val="22"/>
        </w:rPr>
        <w:t xml:space="preserve">the totalling of marks; o the recording of marks. </w:t>
      </w:r>
    </w:p>
    <w:p w14:paraId="3ADF2F3D" w14:textId="77777777" w:rsidR="00A729D3" w:rsidRPr="00362D0D" w:rsidRDefault="00A729D3" w:rsidP="00362D0D">
      <w:pPr>
        <w:pStyle w:val="Default"/>
        <w:rPr>
          <w:color w:val="auto"/>
          <w:sz w:val="22"/>
          <w:szCs w:val="22"/>
        </w:rPr>
      </w:pPr>
    </w:p>
    <w:p w14:paraId="0C67A482" w14:textId="3B522162" w:rsidR="00080BBE" w:rsidRPr="00362D0D" w:rsidRDefault="00080BBE" w:rsidP="00362D0D">
      <w:pPr>
        <w:pStyle w:val="Default"/>
        <w:rPr>
          <w:color w:val="auto"/>
          <w:sz w:val="22"/>
          <w:szCs w:val="22"/>
        </w:rPr>
      </w:pPr>
      <w:r w:rsidRPr="00362D0D">
        <w:rPr>
          <w:color w:val="auto"/>
          <w:sz w:val="22"/>
          <w:szCs w:val="22"/>
        </w:rPr>
        <w:t xml:space="preserve">The outcome of the re-check will be reported along with a statement of the total marks awarded for each unit, or component, included in the enquiry. Only Service 1 clerical re-checks can be requested for objective tests (multiple choice tests). </w:t>
      </w:r>
    </w:p>
    <w:p w14:paraId="5C483183" w14:textId="77777777" w:rsidR="000136B6" w:rsidRPr="00362D0D" w:rsidRDefault="000136B6" w:rsidP="00362D0D">
      <w:pPr>
        <w:pStyle w:val="Default"/>
        <w:rPr>
          <w:color w:val="auto"/>
          <w:sz w:val="22"/>
          <w:szCs w:val="22"/>
        </w:rPr>
      </w:pPr>
    </w:p>
    <w:p w14:paraId="79441546" w14:textId="77777777" w:rsidR="00A729D3" w:rsidRPr="00362D0D" w:rsidRDefault="00080BBE" w:rsidP="00362D0D">
      <w:pPr>
        <w:pStyle w:val="Default"/>
        <w:rPr>
          <w:color w:val="auto"/>
          <w:sz w:val="22"/>
          <w:szCs w:val="22"/>
          <w:u w:val="single"/>
        </w:rPr>
      </w:pPr>
      <w:r w:rsidRPr="00362D0D">
        <w:rPr>
          <w:color w:val="auto"/>
          <w:sz w:val="22"/>
          <w:szCs w:val="22"/>
          <w:u w:val="single"/>
        </w:rPr>
        <w:t xml:space="preserve">Service 2 (Review of marking). </w:t>
      </w:r>
    </w:p>
    <w:p w14:paraId="12AA1031" w14:textId="77777777" w:rsidR="00A729D3" w:rsidRPr="00362D0D" w:rsidRDefault="00A729D3" w:rsidP="00362D0D">
      <w:pPr>
        <w:pStyle w:val="Default"/>
        <w:rPr>
          <w:color w:val="auto"/>
          <w:sz w:val="22"/>
          <w:szCs w:val="22"/>
        </w:rPr>
      </w:pPr>
    </w:p>
    <w:p w14:paraId="5A7D9513" w14:textId="77777777" w:rsidR="00A729D3" w:rsidRPr="00362D0D" w:rsidRDefault="00080BBE" w:rsidP="00362D0D">
      <w:pPr>
        <w:pStyle w:val="Default"/>
        <w:rPr>
          <w:color w:val="auto"/>
          <w:sz w:val="22"/>
          <w:szCs w:val="22"/>
        </w:rPr>
      </w:pPr>
      <w:r w:rsidRPr="00362D0D">
        <w:rPr>
          <w:color w:val="auto"/>
          <w:sz w:val="22"/>
          <w:szCs w:val="22"/>
        </w:rPr>
        <w:t xml:space="preserve">This is a post-results review of the original marking to ensure that the agreed mark scheme has been applied correctly. It is not a re-marking of the candidate’s script. The service is available for externally assessed components of both unitised and linear specifications and will include: </w:t>
      </w:r>
    </w:p>
    <w:p w14:paraId="32EF712E" w14:textId="77777777" w:rsidR="00A729D3" w:rsidRPr="00362D0D" w:rsidRDefault="00A729D3" w:rsidP="00362D0D">
      <w:pPr>
        <w:pStyle w:val="Default"/>
        <w:rPr>
          <w:color w:val="auto"/>
          <w:sz w:val="22"/>
          <w:szCs w:val="22"/>
        </w:rPr>
      </w:pPr>
    </w:p>
    <w:p w14:paraId="17388F9B" w14:textId="77777777" w:rsidR="00A729D3" w:rsidRPr="00362D0D" w:rsidRDefault="00080BBE" w:rsidP="00362D0D">
      <w:pPr>
        <w:pStyle w:val="Default"/>
        <w:numPr>
          <w:ilvl w:val="0"/>
          <w:numId w:val="12"/>
        </w:numPr>
        <w:rPr>
          <w:color w:val="auto"/>
          <w:sz w:val="22"/>
          <w:szCs w:val="22"/>
        </w:rPr>
      </w:pPr>
      <w:r w:rsidRPr="00362D0D">
        <w:rPr>
          <w:color w:val="auto"/>
          <w:sz w:val="22"/>
          <w:szCs w:val="22"/>
        </w:rPr>
        <w:t xml:space="preserve">the clerical re-checks detailed in Service 1; </w:t>
      </w:r>
    </w:p>
    <w:p w14:paraId="7F1EC360" w14:textId="7001FC4A" w:rsidR="00080BBE" w:rsidRPr="00362D0D" w:rsidRDefault="00080BBE" w:rsidP="00362D0D">
      <w:pPr>
        <w:pStyle w:val="Default"/>
        <w:numPr>
          <w:ilvl w:val="0"/>
          <w:numId w:val="12"/>
        </w:numPr>
        <w:rPr>
          <w:color w:val="auto"/>
          <w:sz w:val="22"/>
          <w:szCs w:val="22"/>
        </w:rPr>
      </w:pPr>
      <w:r w:rsidRPr="00362D0D">
        <w:rPr>
          <w:color w:val="auto"/>
          <w:sz w:val="22"/>
          <w:szCs w:val="22"/>
        </w:rPr>
        <w:t xml:space="preserve">a review of marking as described above. </w:t>
      </w:r>
    </w:p>
    <w:p w14:paraId="5A3A23E6" w14:textId="77777777" w:rsidR="00080BBE" w:rsidRPr="00362D0D" w:rsidRDefault="00080BBE" w:rsidP="00362D0D">
      <w:pPr>
        <w:pStyle w:val="Default"/>
        <w:rPr>
          <w:color w:val="auto"/>
          <w:sz w:val="22"/>
          <w:szCs w:val="22"/>
        </w:rPr>
      </w:pPr>
    </w:p>
    <w:p w14:paraId="429E83D2" w14:textId="77777777" w:rsidR="00A729D3" w:rsidRPr="00362D0D" w:rsidRDefault="00080BBE" w:rsidP="00362D0D">
      <w:pPr>
        <w:pStyle w:val="Default"/>
        <w:rPr>
          <w:color w:val="auto"/>
          <w:sz w:val="22"/>
          <w:szCs w:val="22"/>
          <w:u w:val="single"/>
        </w:rPr>
      </w:pPr>
      <w:r w:rsidRPr="00362D0D">
        <w:rPr>
          <w:color w:val="auto"/>
          <w:sz w:val="22"/>
          <w:szCs w:val="22"/>
          <w:u w:val="single"/>
        </w:rPr>
        <w:t xml:space="preserve">Priority Service 2 (Review of marking). </w:t>
      </w:r>
    </w:p>
    <w:p w14:paraId="1EDCDBAC" w14:textId="77777777" w:rsidR="00A729D3" w:rsidRPr="00362D0D" w:rsidRDefault="00A729D3" w:rsidP="00362D0D">
      <w:pPr>
        <w:pStyle w:val="Default"/>
        <w:rPr>
          <w:color w:val="auto"/>
          <w:sz w:val="22"/>
          <w:szCs w:val="22"/>
        </w:rPr>
      </w:pPr>
    </w:p>
    <w:p w14:paraId="0380094C" w14:textId="5633DE1D" w:rsidR="00080BBE" w:rsidRPr="00362D0D" w:rsidRDefault="00080BBE" w:rsidP="00362D0D">
      <w:pPr>
        <w:pStyle w:val="Default"/>
        <w:rPr>
          <w:color w:val="auto"/>
          <w:sz w:val="22"/>
          <w:szCs w:val="22"/>
        </w:rPr>
      </w:pPr>
      <w:r w:rsidRPr="00362D0D">
        <w:rPr>
          <w:color w:val="auto"/>
          <w:sz w:val="22"/>
          <w:szCs w:val="22"/>
        </w:rPr>
        <w:t xml:space="preserve">This is a priority post-results review of the original marking to ensure that the agreed mark scheme has been applied correctly. It is not a re-marking of the candidate’s script. This service is only available if a GCE A-level candidate’s place in higher education is dependent on the outcome. </w:t>
      </w:r>
    </w:p>
    <w:p w14:paraId="61F15ACF" w14:textId="77777777" w:rsidR="00080BBE" w:rsidRPr="00362D0D" w:rsidRDefault="00080BBE" w:rsidP="00362D0D">
      <w:pPr>
        <w:pStyle w:val="Default"/>
        <w:rPr>
          <w:color w:val="auto"/>
          <w:sz w:val="22"/>
          <w:szCs w:val="22"/>
        </w:rPr>
      </w:pPr>
    </w:p>
    <w:p w14:paraId="05E5E497" w14:textId="19E426DC" w:rsidR="00080BBE" w:rsidRPr="00362D0D" w:rsidRDefault="00080BBE" w:rsidP="00362D0D">
      <w:pPr>
        <w:pStyle w:val="Default"/>
        <w:rPr>
          <w:color w:val="auto"/>
          <w:sz w:val="22"/>
          <w:szCs w:val="22"/>
        </w:rPr>
      </w:pPr>
      <w:r w:rsidRPr="00362D0D">
        <w:rPr>
          <w:color w:val="auto"/>
          <w:sz w:val="22"/>
          <w:szCs w:val="22"/>
        </w:rPr>
        <w:t xml:space="preserve">The outcome of each enquiry will be confirmed by the respective awarding body and will be shared with the candidates. The awarding body will provide a reason for the decision of a review of marking. If the mark has changed the reason will either be that an administrative error has occurred or there was a marking error. If there is a disparity of two qualification grades or more between the original marker and the reviewer, the awarding body will automatically provide the centre with specific details. </w:t>
      </w:r>
    </w:p>
    <w:p w14:paraId="4D393153" w14:textId="77777777" w:rsidR="00C355E6" w:rsidRPr="00362D0D" w:rsidRDefault="00C355E6" w:rsidP="00362D0D">
      <w:pPr>
        <w:pStyle w:val="Default"/>
        <w:rPr>
          <w:color w:val="auto"/>
          <w:sz w:val="22"/>
          <w:szCs w:val="22"/>
        </w:rPr>
      </w:pPr>
    </w:p>
    <w:p w14:paraId="5F7F2063" w14:textId="77777777" w:rsidR="00080BBE" w:rsidRPr="00362D0D" w:rsidRDefault="00080BBE" w:rsidP="00362D0D">
      <w:pPr>
        <w:pStyle w:val="Default"/>
        <w:rPr>
          <w:color w:val="auto"/>
          <w:sz w:val="22"/>
          <w:szCs w:val="22"/>
        </w:rPr>
      </w:pPr>
      <w:r w:rsidRPr="00362D0D">
        <w:rPr>
          <w:color w:val="auto"/>
          <w:sz w:val="22"/>
          <w:szCs w:val="22"/>
        </w:rPr>
        <w:t xml:space="preserve">Where a grade changes and a certificate has previously been issued, once the centre has returned the original certificate to the awarding body a replacement will be issued showing the revised grade. Where there has been a reduction in marks or a downgrade, the request cannot be revoked and the original mark or grade cannot be reinstated. </w:t>
      </w:r>
    </w:p>
    <w:p w14:paraId="1DEB2458" w14:textId="77777777" w:rsidR="00C355E6" w:rsidRPr="00362D0D" w:rsidRDefault="00C355E6" w:rsidP="00362D0D">
      <w:pPr>
        <w:pStyle w:val="Default"/>
        <w:rPr>
          <w:color w:val="auto"/>
          <w:sz w:val="22"/>
          <w:szCs w:val="22"/>
        </w:rPr>
      </w:pPr>
    </w:p>
    <w:p w14:paraId="2B0A6443" w14:textId="77777777" w:rsidR="00080BBE" w:rsidRPr="00362D0D" w:rsidRDefault="00080BBE" w:rsidP="00362D0D">
      <w:pPr>
        <w:pStyle w:val="Default"/>
        <w:rPr>
          <w:color w:val="auto"/>
          <w:sz w:val="22"/>
          <w:szCs w:val="22"/>
          <w:u w:val="single"/>
        </w:rPr>
      </w:pPr>
      <w:r w:rsidRPr="00362D0D">
        <w:rPr>
          <w:color w:val="auto"/>
          <w:sz w:val="22"/>
          <w:szCs w:val="22"/>
          <w:u w:val="single"/>
        </w:rPr>
        <w:t xml:space="preserve">Further actions </w:t>
      </w:r>
    </w:p>
    <w:p w14:paraId="421977AB" w14:textId="77777777" w:rsidR="00C355E6" w:rsidRPr="00362D0D" w:rsidRDefault="00C355E6" w:rsidP="00362D0D">
      <w:pPr>
        <w:pStyle w:val="Default"/>
        <w:rPr>
          <w:color w:val="auto"/>
          <w:sz w:val="22"/>
          <w:szCs w:val="22"/>
        </w:rPr>
      </w:pPr>
    </w:p>
    <w:p w14:paraId="48B52034" w14:textId="6147B57C" w:rsidR="00080BBE" w:rsidRPr="00362D0D" w:rsidRDefault="00080BBE" w:rsidP="00362D0D">
      <w:pPr>
        <w:pStyle w:val="Default"/>
        <w:rPr>
          <w:color w:val="auto"/>
          <w:sz w:val="22"/>
          <w:szCs w:val="22"/>
        </w:rPr>
      </w:pPr>
      <w:r w:rsidRPr="00362D0D">
        <w:rPr>
          <w:color w:val="auto"/>
          <w:sz w:val="22"/>
          <w:szCs w:val="22"/>
        </w:rPr>
        <w:t xml:space="preserve">If the Newry High School remains dissatisfied after receiving the outcome of an enquiry about results, it will follow the subsequent appeals process, available on the JCQ website http://www.jcq.org.uk/exams-office/appeals. This site also provides full details of the awarding bodies’ appeals processes and the associated timescales. </w:t>
      </w:r>
    </w:p>
    <w:p w14:paraId="2890E356" w14:textId="77777777" w:rsidR="00C355E6" w:rsidRPr="00362D0D" w:rsidRDefault="00C355E6" w:rsidP="00362D0D">
      <w:pPr>
        <w:pStyle w:val="Default"/>
        <w:rPr>
          <w:color w:val="auto"/>
          <w:sz w:val="22"/>
          <w:szCs w:val="22"/>
        </w:rPr>
      </w:pPr>
    </w:p>
    <w:p w14:paraId="67A137C4" w14:textId="77777777" w:rsidR="00080BBE" w:rsidRPr="00362D0D" w:rsidRDefault="00080BBE" w:rsidP="00362D0D">
      <w:pPr>
        <w:pStyle w:val="Default"/>
        <w:rPr>
          <w:color w:val="auto"/>
          <w:sz w:val="22"/>
          <w:szCs w:val="22"/>
        </w:rPr>
      </w:pPr>
      <w:r w:rsidRPr="00362D0D">
        <w:rPr>
          <w:color w:val="auto"/>
          <w:sz w:val="22"/>
          <w:szCs w:val="22"/>
        </w:rPr>
        <w:t xml:space="preserve">Appeals can only be submitted after the outcome of an enquiry about results has been reported to the centre. Only the head of centre can submit an appeal to the relevant awarding body. Appeals must be made in writing and clearly state the grounds for appeal. Awarding bodies may charge a fee for appeals. This fee will be refunded if the appeal is upheld. </w:t>
      </w:r>
    </w:p>
    <w:p w14:paraId="71137ADB" w14:textId="77777777" w:rsidR="00C355E6" w:rsidRPr="00362D0D" w:rsidRDefault="00C355E6" w:rsidP="00362D0D">
      <w:pPr>
        <w:pStyle w:val="Default"/>
        <w:rPr>
          <w:color w:val="auto"/>
          <w:sz w:val="22"/>
          <w:szCs w:val="22"/>
        </w:rPr>
      </w:pPr>
    </w:p>
    <w:p w14:paraId="2EE541FB" w14:textId="77777777" w:rsidR="00080BBE" w:rsidRPr="00362D0D" w:rsidRDefault="00080BBE" w:rsidP="00362D0D">
      <w:pPr>
        <w:pStyle w:val="Default"/>
        <w:rPr>
          <w:color w:val="auto"/>
          <w:sz w:val="22"/>
          <w:szCs w:val="22"/>
        </w:rPr>
      </w:pPr>
      <w:r w:rsidRPr="00362D0D">
        <w:rPr>
          <w:color w:val="auto"/>
          <w:sz w:val="22"/>
          <w:szCs w:val="22"/>
        </w:rPr>
        <w:t xml:space="preserve">NB An appeal against a moderation decision cannot be made on behalf of an individual candidate. </w:t>
      </w:r>
    </w:p>
    <w:p w14:paraId="7297369C" w14:textId="77777777" w:rsidR="00C355E6" w:rsidRPr="00362D0D" w:rsidRDefault="00C355E6" w:rsidP="00362D0D">
      <w:pPr>
        <w:pStyle w:val="Default"/>
        <w:rPr>
          <w:b/>
          <w:bCs/>
          <w:color w:val="auto"/>
          <w:sz w:val="22"/>
          <w:szCs w:val="22"/>
        </w:rPr>
      </w:pPr>
    </w:p>
    <w:p w14:paraId="2C21039D" w14:textId="71FFE1FE" w:rsidR="00080BBE" w:rsidRPr="00362D0D" w:rsidRDefault="00080BBE" w:rsidP="00362D0D">
      <w:pPr>
        <w:pStyle w:val="Default"/>
        <w:rPr>
          <w:b/>
          <w:bCs/>
          <w:color w:val="auto"/>
          <w:sz w:val="22"/>
          <w:szCs w:val="22"/>
        </w:rPr>
      </w:pPr>
      <w:r w:rsidRPr="00362D0D">
        <w:rPr>
          <w:b/>
          <w:bCs/>
          <w:color w:val="auto"/>
          <w:sz w:val="22"/>
          <w:szCs w:val="22"/>
        </w:rPr>
        <w:t xml:space="preserve">Appeals procedure against centre decisions not to support an enquiry about </w:t>
      </w:r>
      <w:r w:rsidR="00D863D1" w:rsidRPr="00362D0D">
        <w:rPr>
          <w:b/>
          <w:bCs/>
          <w:color w:val="auto"/>
          <w:sz w:val="22"/>
          <w:szCs w:val="22"/>
        </w:rPr>
        <w:t>results.</w:t>
      </w:r>
    </w:p>
    <w:p w14:paraId="705558CF" w14:textId="77777777" w:rsidR="00C355E6" w:rsidRPr="00362D0D" w:rsidRDefault="00C355E6" w:rsidP="00362D0D">
      <w:pPr>
        <w:pStyle w:val="Default"/>
        <w:rPr>
          <w:color w:val="auto"/>
          <w:sz w:val="22"/>
          <w:szCs w:val="22"/>
        </w:rPr>
      </w:pPr>
    </w:p>
    <w:p w14:paraId="61F819C9" w14:textId="77777777" w:rsidR="000136B6" w:rsidRPr="00362D0D" w:rsidRDefault="00080BBE" w:rsidP="00362D0D">
      <w:pPr>
        <w:pStyle w:val="Default"/>
        <w:rPr>
          <w:color w:val="auto"/>
          <w:sz w:val="22"/>
          <w:szCs w:val="22"/>
        </w:rPr>
      </w:pPr>
      <w:r w:rsidRPr="00362D0D">
        <w:rPr>
          <w:color w:val="auto"/>
          <w:sz w:val="22"/>
          <w:szCs w:val="22"/>
        </w:rPr>
        <w:t xml:space="preserve">If a query is raised about a particular examination result, the Examinations </w:t>
      </w:r>
      <w:r w:rsidR="00C355E6" w:rsidRPr="00362D0D">
        <w:rPr>
          <w:color w:val="auto"/>
          <w:sz w:val="22"/>
          <w:szCs w:val="22"/>
        </w:rPr>
        <w:t>Officer</w:t>
      </w:r>
      <w:r w:rsidRPr="00362D0D">
        <w:rPr>
          <w:color w:val="auto"/>
          <w:sz w:val="22"/>
          <w:szCs w:val="22"/>
        </w:rPr>
        <w:t xml:space="preserve">, teaching staff and Head of Centre will investigate the feasibility of requesting an enquiry at the centre’s expense. When Newry High School does not uphold a request from a candidate, the candidate may pay the appropriate fee, and a request will be made to the awarding body on the candidate’s behalf. </w:t>
      </w:r>
    </w:p>
    <w:p w14:paraId="18225F5D" w14:textId="77777777" w:rsidR="000136B6" w:rsidRPr="00362D0D" w:rsidRDefault="000136B6" w:rsidP="00362D0D">
      <w:pPr>
        <w:pStyle w:val="Default"/>
        <w:rPr>
          <w:color w:val="auto"/>
          <w:sz w:val="22"/>
          <w:szCs w:val="22"/>
        </w:rPr>
      </w:pPr>
    </w:p>
    <w:p w14:paraId="35B9B673" w14:textId="77777777" w:rsidR="006C7FC4" w:rsidRDefault="00080BBE" w:rsidP="00362D0D">
      <w:pPr>
        <w:pStyle w:val="Default"/>
        <w:rPr>
          <w:color w:val="auto"/>
          <w:sz w:val="22"/>
          <w:szCs w:val="22"/>
        </w:rPr>
      </w:pPr>
      <w:r w:rsidRPr="00362D0D">
        <w:rPr>
          <w:color w:val="auto"/>
          <w:sz w:val="22"/>
          <w:szCs w:val="22"/>
        </w:rPr>
        <w:t>In deciding whether to support an appeal, the Newry High School will take account of all relevant factors and afford candidates or their parents/carers a reasonable opportunity to express their views. If the candidate (or their parent/carer) believes there are grounds to appeal against the centre’s decision not to support an enquiry, a</w:t>
      </w:r>
      <w:r w:rsidR="006C7FC4">
        <w:rPr>
          <w:color w:val="auto"/>
          <w:sz w:val="22"/>
          <w:szCs w:val="22"/>
        </w:rPr>
        <w:t xml:space="preserve"> formal complaint</w:t>
      </w:r>
      <w:r w:rsidRPr="00362D0D">
        <w:rPr>
          <w:color w:val="auto"/>
          <w:sz w:val="22"/>
          <w:szCs w:val="22"/>
        </w:rPr>
        <w:t xml:space="preserve"> can be submitted </w:t>
      </w:r>
      <w:r w:rsidR="006C7FC4">
        <w:rPr>
          <w:color w:val="auto"/>
          <w:sz w:val="22"/>
          <w:szCs w:val="22"/>
        </w:rPr>
        <w:t>following the procedure above.</w:t>
      </w:r>
    </w:p>
    <w:sectPr w:rsidR="006C7FC4" w:rsidSect="00A729D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A0E1" w14:textId="77777777" w:rsidR="00080BBE" w:rsidRDefault="00080BBE" w:rsidP="00080BBE">
      <w:pPr>
        <w:spacing w:after="0" w:line="240" w:lineRule="auto"/>
      </w:pPr>
      <w:r>
        <w:separator/>
      </w:r>
    </w:p>
  </w:endnote>
  <w:endnote w:type="continuationSeparator" w:id="0">
    <w:p w14:paraId="3C43AAF0" w14:textId="77777777" w:rsidR="00080BBE" w:rsidRDefault="00080BBE" w:rsidP="0008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796FA" w14:textId="77777777" w:rsidR="00080BBE" w:rsidRDefault="00080BBE" w:rsidP="00080BBE">
      <w:pPr>
        <w:spacing w:after="0" w:line="240" w:lineRule="auto"/>
      </w:pPr>
      <w:r>
        <w:separator/>
      </w:r>
    </w:p>
  </w:footnote>
  <w:footnote w:type="continuationSeparator" w:id="0">
    <w:p w14:paraId="0D702E45" w14:textId="77777777" w:rsidR="00080BBE" w:rsidRDefault="00080BBE" w:rsidP="00080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0506C8"/>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07CD2328">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06A7AD"/>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9B739C09">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E028C3"/>
    <w:multiLevelType w:val="hybridMultilevel"/>
    <w:tmpl w:val="242C0BE0"/>
    <w:lvl w:ilvl="0" w:tplc="08090001">
      <w:start w:val="1"/>
      <w:numFmt w:val="bullet"/>
      <w:lvlText w:val=""/>
      <w:lvlJc w:val="left"/>
      <w:pPr>
        <w:ind w:left="720" w:hanging="360"/>
      </w:pPr>
      <w:rPr>
        <w:rFonts w:ascii="Symbol" w:hAnsi="Symbol" w:hint="default"/>
      </w:rPr>
    </w:lvl>
    <w:lvl w:ilvl="1" w:tplc="DA5A36A2">
      <w:start w:val="6"/>
      <w:numFmt w:val="bullet"/>
      <w:lvlText w:val="•"/>
      <w:lvlJc w:val="left"/>
      <w:pPr>
        <w:ind w:left="1440" w:hanging="360"/>
      </w:pPr>
      <w:rPr>
        <w:rFonts w:ascii="Arial" w:eastAsiaTheme="minorHAnsi"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A2FE5"/>
    <w:multiLevelType w:val="hybridMultilevel"/>
    <w:tmpl w:val="1304FBF8"/>
    <w:lvl w:ilvl="0" w:tplc="615EBC66">
      <w:start w:val="3"/>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15:restartNumberingAfterBreak="0">
    <w:nsid w:val="1B606862"/>
    <w:multiLevelType w:val="hybridMultilevel"/>
    <w:tmpl w:val="9EDA9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46C61"/>
    <w:multiLevelType w:val="hybridMultilevel"/>
    <w:tmpl w:val="23000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63E1E"/>
    <w:multiLevelType w:val="hybridMultilevel"/>
    <w:tmpl w:val="FFFFFFFF"/>
    <w:lvl w:ilvl="0" w:tplc="FFFFFFFF">
      <w:start w:val="1"/>
      <w:numFmt w:val="ideographDigital"/>
      <w:lvlText w:val=""/>
      <w:lvlJc w:val="left"/>
    </w:lvl>
    <w:lvl w:ilvl="1" w:tplc="065E414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999202D"/>
    <w:multiLevelType w:val="hybridMultilevel"/>
    <w:tmpl w:val="0D2C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D6CAD"/>
    <w:multiLevelType w:val="hybridMultilevel"/>
    <w:tmpl w:val="FE7E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50CC0"/>
    <w:multiLevelType w:val="hybridMultilevel"/>
    <w:tmpl w:val="C42EC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B32CD3"/>
    <w:multiLevelType w:val="hybridMultilevel"/>
    <w:tmpl w:val="920EB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E1481"/>
    <w:multiLevelType w:val="hybridMultilevel"/>
    <w:tmpl w:val="BC08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DE580D"/>
    <w:multiLevelType w:val="hybridMultilevel"/>
    <w:tmpl w:val="7A90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74E41"/>
    <w:multiLevelType w:val="hybridMultilevel"/>
    <w:tmpl w:val="A420E2CE"/>
    <w:lvl w:ilvl="0" w:tplc="C088C0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8B0BDA"/>
    <w:multiLevelType w:val="hybridMultilevel"/>
    <w:tmpl w:val="2C16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7A5C3D"/>
    <w:multiLevelType w:val="hybridMultilevel"/>
    <w:tmpl w:val="D5E2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AC58AF"/>
    <w:multiLevelType w:val="hybridMultilevel"/>
    <w:tmpl w:val="D1928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D2459D"/>
    <w:multiLevelType w:val="hybridMultilevel"/>
    <w:tmpl w:val="B0206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F628ED"/>
    <w:multiLevelType w:val="hybridMultilevel"/>
    <w:tmpl w:val="BE147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E681B38">
      <w:start w:val="2"/>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2A5763"/>
    <w:multiLevelType w:val="hybridMultilevel"/>
    <w:tmpl w:val="4C98F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6D61DD"/>
    <w:multiLevelType w:val="hybridMultilevel"/>
    <w:tmpl w:val="71589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6182915">
    <w:abstractNumId w:val="6"/>
  </w:num>
  <w:num w:numId="2" w16cid:durableId="1061176176">
    <w:abstractNumId w:val="0"/>
  </w:num>
  <w:num w:numId="3" w16cid:durableId="1676154320">
    <w:abstractNumId w:val="1"/>
  </w:num>
  <w:num w:numId="4" w16cid:durableId="665326172">
    <w:abstractNumId w:val="18"/>
  </w:num>
  <w:num w:numId="5" w16cid:durableId="337276597">
    <w:abstractNumId w:val="13"/>
  </w:num>
  <w:num w:numId="6" w16cid:durableId="523251507">
    <w:abstractNumId w:val="9"/>
  </w:num>
  <w:num w:numId="7" w16cid:durableId="1423455915">
    <w:abstractNumId w:val="2"/>
  </w:num>
  <w:num w:numId="8" w16cid:durableId="472909116">
    <w:abstractNumId w:val="16"/>
  </w:num>
  <w:num w:numId="9" w16cid:durableId="1000157008">
    <w:abstractNumId w:val="14"/>
  </w:num>
  <w:num w:numId="10" w16cid:durableId="660349840">
    <w:abstractNumId w:val="19"/>
  </w:num>
  <w:num w:numId="11" w16cid:durableId="1222865206">
    <w:abstractNumId w:val="17"/>
  </w:num>
  <w:num w:numId="12" w16cid:durableId="1207568417">
    <w:abstractNumId w:val="4"/>
  </w:num>
  <w:num w:numId="13" w16cid:durableId="357317788">
    <w:abstractNumId w:val="15"/>
  </w:num>
  <w:num w:numId="14" w16cid:durableId="1213538417">
    <w:abstractNumId w:val="12"/>
  </w:num>
  <w:num w:numId="15" w16cid:durableId="363216189">
    <w:abstractNumId w:val="5"/>
  </w:num>
  <w:num w:numId="16" w16cid:durableId="772866954">
    <w:abstractNumId w:val="10"/>
  </w:num>
  <w:num w:numId="17" w16cid:durableId="2115585659">
    <w:abstractNumId w:val="7"/>
  </w:num>
  <w:num w:numId="18" w16cid:durableId="2138183562">
    <w:abstractNumId w:val="11"/>
  </w:num>
  <w:num w:numId="19" w16cid:durableId="1014771287">
    <w:abstractNumId w:val="20"/>
  </w:num>
  <w:num w:numId="20" w16cid:durableId="316350488">
    <w:abstractNumId w:val="3"/>
  </w:num>
  <w:num w:numId="21" w16cid:durableId="9488971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BE"/>
    <w:rsid w:val="000136B6"/>
    <w:rsid w:val="00080BBE"/>
    <w:rsid w:val="00133017"/>
    <w:rsid w:val="0022729F"/>
    <w:rsid w:val="002458BA"/>
    <w:rsid w:val="003170A6"/>
    <w:rsid w:val="00362D0D"/>
    <w:rsid w:val="004C5469"/>
    <w:rsid w:val="00606BAD"/>
    <w:rsid w:val="006C7FC4"/>
    <w:rsid w:val="006E61BB"/>
    <w:rsid w:val="00714297"/>
    <w:rsid w:val="00893814"/>
    <w:rsid w:val="008B382A"/>
    <w:rsid w:val="009467BC"/>
    <w:rsid w:val="00A42929"/>
    <w:rsid w:val="00A729D3"/>
    <w:rsid w:val="00BE25B5"/>
    <w:rsid w:val="00C355E6"/>
    <w:rsid w:val="00D2428D"/>
    <w:rsid w:val="00D863D1"/>
    <w:rsid w:val="00D95232"/>
    <w:rsid w:val="00F07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6F5A"/>
  <w15:chartTrackingRefBased/>
  <w15:docId w15:val="{1885AD90-CE0F-4741-87A0-FE4B698C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0BBE"/>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080B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BBE"/>
  </w:style>
  <w:style w:type="paragraph" w:styleId="Footer">
    <w:name w:val="footer"/>
    <w:basedOn w:val="Normal"/>
    <w:link w:val="FooterChar"/>
    <w:uiPriority w:val="99"/>
    <w:unhideWhenUsed/>
    <w:rsid w:val="00080B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BBE"/>
  </w:style>
  <w:style w:type="character" w:styleId="Hyperlink">
    <w:name w:val="Hyperlink"/>
    <w:basedOn w:val="DefaultParagraphFont"/>
    <w:uiPriority w:val="99"/>
    <w:unhideWhenUsed/>
    <w:rsid w:val="000136B6"/>
    <w:rPr>
      <w:color w:val="0563C1" w:themeColor="hyperlink"/>
      <w:u w:val="single"/>
    </w:rPr>
  </w:style>
  <w:style w:type="character" w:styleId="UnresolvedMention">
    <w:name w:val="Unresolved Mention"/>
    <w:basedOn w:val="DefaultParagraphFont"/>
    <w:uiPriority w:val="99"/>
    <w:semiHidden/>
    <w:unhideWhenUsed/>
    <w:rsid w:val="000136B6"/>
    <w:rPr>
      <w:color w:val="605E5C"/>
      <w:shd w:val="clear" w:color="auto" w:fill="E1DFDD"/>
    </w:rPr>
  </w:style>
  <w:style w:type="paragraph" w:styleId="ListParagraph">
    <w:name w:val="List Paragraph"/>
    <w:basedOn w:val="Normal"/>
    <w:link w:val="ListParagraphChar"/>
    <w:uiPriority w:val="34"/>
    <w:qFormat/>
    <w:rsid w:val="00BE25B5"/>
    <w:pPr>
      <w:spacing w:after="200" w:line="276" w:lineRule="auto"/>
      <w:ind w:left="720"/>
      <w:contextualSpacing/>
    </w:pPr>
    <w:rPr>
      <w:kern w:val="0"/>
      <w14:ligatures w14:val="none"/>
    </w:rPr>
  </w:style>
  <w:style w:type="paragraph" w:styleId="NoSpacing">
    <w:name w:val="No Spacing"/>
    <w:uiPriority w:val="1"/>
    <w:qFormat/>
    <w:rsid w:val="00BE25B5"/>
    <w:pPr>
      <w:spacing w:after="0" w:line="240" w:lineRule="auto"/>
    </w:pPr>
    <w:rPr>
      <w:kern w:val="0"/>
      <w14:ligatures w14:val="none"/>
    </w:rPr>
  </w:style>
  <w:style w:type="character" w:customStyle="1" w:styleId="ListParagraphChar">
    <w:name w:val="List Paragraph Char"/>
    <w:basedOn w:val="DefaultParagraphFont"/>
    <w:link w:val="ListParagraph"/>
    <w:uiPriority w:val="1"/>
    <w:locked/>
    <w:rsid w:val="00BE25B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q.org.uk/examsoffice/general-regulations" TargetMode="External"/><Relationship Id="rId13" Type="http://schemas.openxmlformats.org/officeDocument/2006/relationships/hyperlink" Target="https://www.gov.uk/appeal-exam-resul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jcq.org.uk/exams-office/coursewor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cq.org.uk/exams-office/controlled-assessmen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jcq.org.uk/exams-office/appeals" TargetMode="External"/><Relationship Id="rId4" Type="http://schemas.openxmlformats.org/officeDocument/2006/relationships/webSettings" Target="webSettings.xml"/><Relationship Id="rId9" Type="http://schemas.openxmlformats.org/officeDocument/2006/relationships/hyperlink" Target="http://www.jcq.org.uk/exams-office/post-resultsservices" TargetMode="External"/><Relationship Id="rId14" Type="http://schemas.openxmlformats.org/officeDocument/2006/relationships/hyperlink" Target="http://www.jcq.org.uk/examination-system/the-appeals-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BROWN</dc:creator>
  <cp:keywords/>
  <dc:description/>
  <cp:lastModifiedBy>C LUTTON</cp:lastModifiedBy>
  <cp:revision>2</cp:revision>
  <cp:lastPrinted>2023-12-12T13:49:00Z</cp:lastPrinted>
  <dcterms:created xsi:type="dcterms:W3CDTF">2025-03-31T11:25:00Z</dcterms:created>
  <dcterms:modified xsi:type="dcterms:W3CDTF">2025-03-31T11:25:00Z</dcterms:modified>
</cp:coreProperties>
</file>